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2" w:type="dxa"/>
        <w:tblInd w:w="-93" w:type="dxa"/>
        <w:tblCellMar>
          <w:left w:w="0" w:type="dxa"/>
          <w:right w:w="0" w:type="dxa"/>
        </w:tblCellMar>
        <w:tblLook w:val="01E0" w:firstRow="1" w:lastRow="1" w:firstColumn="1" w:lastColumn="1" w:noHBand="0" w:noVBand="0"/>
      </w:tblPr>
      <w:tblGrid>
        <w:gridCol w:w="4488"/>
        <w:gridCol w:w="5244"/>
      </w:tblGrid>
      <w:tr w:rsidR="005A4083" w:rsidRPr="005A4083" w14:paraId="1C16F533" w14:textId="77777777" w:rsidTr="007C09DF">
        <w:tc>
          <w:tcPr>
            <w:tcW w:w="4488" w:type="dxa"/>
          </w:tcPr>
          <w:p w14:paraId="5A36B84E" w14:textId="77777777" w:rsidR="005A4083" w:rsidRPr="005A4083" w:rsidRDefault="005A4083" w:rsidP="005A4083">
            <w:pPr>
              <w:spacing w:line="240" w:lineRule="auto"/>
              <w:jc w:val="center"/>
              <w:rPr>
                <w:rFonts w:ascii="Times New Roman" w:eastAsia="Times New Roman" w:hAnsi="Times New Roman" w:cs="Times New Roman"/>
                <w:sz w:val="24"/>
                <w:szCs w:val="28"/>
              </w:rPr>
            </w:pPr>
            <w:r w:rsidRPr="005A4083">
              <w:rPr>
                <w:rFonts w:ascii="Times New Roman" w:eastAsia="Times New Roman" w:hAnsi="Times New Roman" w:cs="Times New Roman"/>
                <w:sz w:val="24"/>
                <w:szCs w:val="28"/>
              </w:rPr>
              <w:t>SỞ GIÁO DỤC VÀ ĐÀO TẠO ĐIỆN BIÊN</w:t>
            </w:r>
          </w:p>
        </w:tc>
        <w:tc>
          <w:tcPr>
            <w:tcW w:w="5244" w:type="dxa"/>
          </w:tcPr>
          <w:p w14:paraId="00496E3E" w14:textId="77777777" w:rsidR="005A4083" w:rsidRPr="005A4083" w:rsidRDefault="005A4083" w:rsidP="005A4083">
            <w:pPr>
              <w:spacing w:line="240" w:lineRule="auto"/>
              <w:jc w:val="center"/>
              <w:rPr>
                <w:rFonts w:ascii="Times New Roman" w:eastAsia="Times New Roman" w:hAnsi="Times New Roman" w:cs="Times New Roman"/>
                <w:b/>
                <w:sz w:val="24"/>
                <w:szCs w:val="28"/>
              </w:rPr>
            </w:pPr>
            <w:r w:rsidRPr="005A4083">
              <w:rPr>
                <w:rFonts w:ascii="Times New Roman" w:eastAsia="Times New Roman" w:hAnsi="Times New Roman" w:cs="Times New Roman"/>
                <w:b/>
                <w:sz w:val="24"/>
                <w:szCs w:val="28"/>
              </w:rPr>
              <w:t xml:space="preserve">CỘNG HÒA XÃ HỘI CHỦ NGHĨA VIỆT </w:t>
            </w:r>
            <w:smartTag w:uri="urn:schemas-microsoft-com:office:smarttags" w:element="country-region">
              <w:smartTag w:uri="urn:schemas-microsoft-com:office:smarttags" w:element="place">
                <w:r w:rsidRPr="005A4083">
                  <w:rPr>
                    <w:rFonts w:ascii="Times New Roman" w:eastAsia="Times New Roman" w:hAnsi="Times New Roman" w:cs="Times New Roman"/>
                    <w:b/>
                    <w:sz w:val="24"/>
                    <w:szCs w:val="28"/>
                  </w:rPr>
                  <w:t>NAM</w:t>
                </w:r>
              </w:smartTag>
            </w:smartTag>
          </w:p>
        </w:tc>
      </w:tr>
      <w:tr w:rsidR="005A4083" w:rsidRPr="005A4083" w14:paraId="242CEA04" w14:textId="77777777" w:rsidTr="007C09DF">
        <w:tc>
          <w:tcPr>
            <w:tcW w:w="4488" w:type="dxa"/>
          </w:tcPr>
          <w:p w14:paraId="37C9739B" w14:textId="743D357C" w:rsidR="005A4083" w:rsidRPr="005A4083" w:rsidRDefault="005A4083" w:rsidP="005A4083">
            <w:pPr>
              <w:spacing w:line="240" w:lineRule="auto"/>
              <w:jc w:val="center"/>
              <w:rPr>
                <w:rFonts w:ascii="Times New Roman" w:eastAsia="Times New Roman" w:hAnsi="Times New Roman" w:cs="Times New Roman"/>
                <w:b/>
                <w:sz w:val="26"/>
                <w:szCs w:val="28"/>
              </w:rPr>
            </w:pPr>
            <w:r w:rsidRPr="005A4083">
              <w:rPr>
                <w:rFonts w:ascii="Times New Roman" w:eastAsia="Times New Roman" w:hAnsi="Times New Roman" w:cs="Times New Roman"/>
                <w:b/>
                <w:sz w:val="24"/>
                <w:szCs w:val="28"/>
              </w:rPr>
              <w:t xml:space="preserve">TRUNG TÂM </w:t>
            </w:r>
            <w:r w:rsidR="007C09DF">
              <w:rPr>
                <w:rFonts w:ascii="Times New Roman" w:eastAsia="Times New Roman" w:hAnsi="Times New Roman" w:cs="Times New Roman"/>
                <w:b/>
                <w:sz w:val="24"/>
                <w:szCs w:val="28"/>
              </w:rPr>
              <w:t>GDNN-GDTX 1</w:t>
            </w:r>
          </w:p>
        </w:tc>
        <w:tc>
          <w:tcPr>
            <w:tcW w:w="5244" w:type="dxa"/>
          </w:tcPr>
          <w:p w14:paraId="4664CD83" w14:textId="77777777" w:rsidR="005A4083" w:rsidRPr="005A4083" w:rsidRDefault="005A4083" w:rsidP="005A4083">
            <w:pPr>
              <w:spacing w:line="240" w:lineRule="auto"/>
              <w:jc w:val="center"/>
              <w:rPr>
                <w:rFonts w:ascii="Times New Roman" w:eastAsia="Times New Roman" w:hAnsi="Times New Roman" w:cs="Times New Roman"/>
                <w:b/>
                <w:sz w:val="26"/>
                <w:szCs w:val="28"/>
              </w:rPr>
            </w:pPr>
            <w:r w:rsidRPr="005A4083">
              <w:rPr>
                <w:rFonts w:ascii="Times New Roman" w:eastAsia="Times New Roman" w:hAnsi="Times New Roman" w:cs="Times New Roman"/>
                <w:b/>
                <w:sz w:val="26"/>
                <w:szCs w:val="28"/>
              </w:rPr>
              <w:t>Độc lập - Tự do - Hạnh phúc</w:t>
            </w:r>
          </w:p>
        </w:tc>
      </w:tr>
      <w:tr w:rsidR="005A4083" w:rsidRPr="005A4083" w14:paraId="7E3E6590" w14:textId="77777777" w:rsidTr="007C09DF">
        <w:tc>
          <w:tcPr>
            <w:tcW w:w="4488" w:type="dxa"/>
          </w:tcPr>
          <w:p w14:paraId="6A1A639B" w14:textId="0D3EBD61" w:rsidR="005A4083" w:rsidRPr="005A4083" w:rsidRDefault="005A4083" w:rsidP="005A4083">
            <w:pPr>
              <w:spacing w:line="240" w:lineRule="auto"/>
              <w:jc w:val="center"/>
              <w:rPr>
                <w:rFonts w:ascii="Times New Roman" w:eastAsia="Times New Roman" w:hAnsi="Times New Roman" w:cs="Times New Roman"/>
                <w:b/>
                <w:sz w:val="16"/>
                <w:szCs w:val="28"/>
              </w:rPr>
            </w:pPr>
            <w:r w:rsidRPr="005A4083">
              <w:rPr>
                <w:rFonts w:ascii="Times New Roman" w:eastAsia="Times New Roman" w:hAnsi="Times New Roman" w:cs="Times New Roman"/>
                <w:b/>
                <w:noProof/>
                <w:sz w:val="24"/>
                <w:szCs w:val="28"/>
              </w:rPr>
              <mc:AlternateContent>
                <mc:Choice Requires="wps">
                  <w:drawing>
                    <wp:anchor distT="0" distB="0" distL="114300" distR="114300" simplePos="0" relativeHeight="251659264" behindDoc="0" locked="0" layoutInCell="1" allowOverlap="1" wp14:anchorId="187E8CF1" wp14:editId="76749016">
                      <wp:simplePos x="0" y="0"/>
                      <wp:positionH relativeFrom="column">
                        <wp:posOffset>829034</wp:posOffset>
                      </wp:positionH>
                      <wp:positionV relativeFrom="paragraph">
                        <wp:posOffset>19685</wp:posOffset>
                      </wp:positionV>
                      <wp:extent cx="1148715" cy="0"/>
                      <wp:effectExtent l="0" t="0" r="0" b="0"/>
                      <wp:wrapNone/>
                      <wp:docPr id="183934702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08B8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pt,1.55pt" to="155.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"/>
                  </w:pict>
                </mc:Fallback>
              </mc:AlternateContent>
            </w:r>
          </w:p>
        </w:tc>
        <w:tc>
          <w:tcPr>
            <w:tcW w:w="5244" w:type="dxa"/>
          </w:tcPr>
          <w:p w14:paraId="116C2E71" w14:textId="6FFDF924" w:rsidR="005A4083" w:rsidRPr="005A4083" w:rsidRDefault="005A4083" w:rsidP="005A4083">
            <w:pPr>
              <w:spacing w:line="240" w:lineRule="auto"/>
              <w:jc w:val="center"/>
              <w:rPr>
                <w:rFonts w:ascii="Times New Roman" w:eastAsia="Times New Roman" w:hAnsi="Times New Roman" w:cs="Times New Roman"/>
                <w:b/>
                <w:sz w:val="16"/>
                <w:szCs w:val="28"/>
              </w:rPr>
            </w:pPr>
            <w:r w:rsidRPr="005A4083">
              <w:rPr>
                <w:rFonts w:ascii="Times New Roman" w:eastAsia="Times New Roman" w:hAnsi="Times New Roman" w:cs="Times New Roman"/>
                <w:b/>
                <w:noProof/>
                <w:sz w:val="16"/>
                <w:szCs w:val="28"/>
              </w:rPr>
              <mc:AlternateContent>
                <mc:Choice Requires="wps">
                  <w:drawing>
                    <wp:anchor distT="0" distB="0" distL="114300" distR="114300" simplePos="0" relativeHeight="251660288" behindDoc="0" locked="0" layoutInCell="1" allowOverlap="1" wp14:anchorId="49F1BEEF" wp14:editId="084C3E48">
                      <wp:simplePos x="0" y="0"/>
                      <wp:positionH relativeFrom="column">
                        <wp:posOffset>612140</wp:posOffset>
                      </wp:positionH>
                      <wp:positionV relativeFrom="paragraph">
                        <wp:posOffset>25400</wp:posOffset>
                      </wp:positionV>
                      <wp:extent cx="1999615" cy="0"/>
                      <wp:effectExtent l="7620" t="5715" r="12065" b="13335"/>
                      <wp:wrapNone/>
                      <wp:docPr id="116571150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56C6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2pt" to="205.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"/>
                  </w:pict>
                </mc:Fallback>
              </mc:AlternateContent>
            </w:r>
          </w:p>
        </w:tc>
      </w:tr>
      <w:tr w:rsidR="005A4083" w:rsidRPr="005A4083" w14:paraId="0BB1F186" w14:textId="77777777" w:rsidTr="007C09DF">
        <w:tc>
          <w:tcPr>
            <w:tcW w:w="4488" w:type="dxa"/>
          </w:tcPr>
          <w:p w14:paraId="3ACB2E36" w14:textId="630A0966" w:rsidR="005A4083" w:rsidRPr="005A4083" w:rsidRDefault="005A4083" w:rsidP="005A4083">
            <w:pPr>
              <w:spacing w:line="240" w:lineRule="auto"/>
              <w:jc w:val="center"/>
              <w:rPr>
                <w:rFonts w:ascii="Times New Roman" w:eastAsia="Times New Roman" w:hAnsi="Times New Roman" w:cs="Times New Roman"/>
                <w:sz w:val="26"/>
                <w:szCs w:val="28"/>
              </w:rPr>
            </w:pPr>
            <w:r w:rsidRPr="005A4083">
              <w:rPr>
                <w:rFonts w:ascii="Times New Roman" w:eastAsia="Times New Roman" w:hAnsi="Times New Roman" w:cs="Times New Roman"/>
                <w:sz w:val="26"/>
                <w:szCs w:val="28"/>
              </w:rPr>
              <w:t xml:space="preserve">Số: </w:t>
            </w:r>
            <w:r w:rsidR="00A36A2A">
              <w:rPr>
                <w:rFonts w:ascii="Times New Roman" w:eastAsia="Times New Roman" w:hAnsi="Times New Roman" w:cs="Times New Roman"/>
                <w:sz w:val="26"/>
                <w:szCs w:val="28"/>
              </w:rPr>
              <w:t>11</w:t>
            </w:r>
            <w:r w:rsidRPr="005A4083">
              <w:rPr>
                <w:rFonts w:ascii="Times New Roman" w:eastAsia="Times New Roman" w:hAnsi="Times New Roman" w:cs="Times New Roman"/>
                <w:sz w:val="26"/>
                <w:szCs w:val="28"/>
              </w:rPr>
              <w:t>/</w:t>
            </w:r>
            <w:r w:rsidR="007C09DF">
              <w:rPr>
                <w:rFonts w:ascii="Times New Roman" w:eastAsia="Times New Roman" w:hAnsi="Times New Roman" w:cs="Times New Roman"/>
                <w:sz w:val="26"/>
                <w:szCs w:val="28"/>
              </w:rPr>
              <w:t>BC</w:t>
            </w:r>
            <w:r w:rsidRPr="005A4083">
              <w:rPr>
                <w:rFonts w:ascii="Times New Roman" w:eastAsia="Times New Roman" w:hAnsi="Times New Roman" w:cs="Times New Roman"/>
                <w:sz w:val="26"/>
                <w:szCs w:val="28"/>
              </w:rPr>
              <w:t>-</w:t>
            </w:r>
            <w:r w:rsidR="007C09DF">
              <w:rPr>
                <w:rFonts w:ascii="Times New Roman" w:eastAsia="Times New Roman" w:hAnsi="Times New Roman" w:cs="Times New Roman"/>
                <w:sz w:val="26"/>
                <w:szCs w:val="28"/>
              </w:rPr>
              <w:t>GDTX1</w:t>
            </w:r>
          </w:p>
        </w:tc>
        <w:tc>
          <w:tcPr>
            <w:tcW w:w="5244" w:type="dxa"/>
          </w:tcPr>
          <w:p w14:paraId="1FB8B2D9" w14:textId="5ED203C7" w:rsidR="005A4083" w:rsidRPr="005A4083" w:rsidRDefault="007C09DF" w:rsidP="007C09DF">
            <w:pPr>
              <w:spacing w:line="240" w:lineRule="auto"/>
              <w:jc w:val="right"/>
              <w:rPr>
                <w:rFonts w:ascii="Times New Roman" w:eastAsia="Times New Roman" w:hAnsi="Times New Roman" w:cs="Times New Roman"/>
                <w:i/>
                <w:sz w:val="26"/>
                <w:szCs w:val="28"/>
              </w:rPr>
            </w:pPr>
            <w:r>
              <w:rPr>
                <w:rFonts w:ascii="Times New Roman" w:eastAsia="Times New Roman" w:hAnsi="Times New Roman" w:cs="Times New Roman"/>
                <w:i/>
                <w:sz w:val="26"/>
                <w:szCs w:val="28"/>
              </w:rPr>
              <w:t xml:space="preserve">      </w:t>
            </w:r>
            <w:r w:rsidR="005A4083" w:rsidRPr="005A4083">
              <w:rPr>
                <w:rFonts w:ascii="Times New Roman" w:eastAsia="Times New Roman" w:hAnsi="Times New Roman" w:cs="Times New Roman"/>
                <w:i/>
                <w:sz w:val="26"/>
                <w:szCs w:val="28"/>
              </w:rPr>
              <w:t xml:space="preserve">Điện Biên, ngày </w:t>
            </w:r>
            <w:r w:rsidR="00A36A2A">
              <w:rPr>
                <w:rFonts w:ascii="Times New Roman" w:eastAsia="Times New Roman" w:hAnsi="Times New Roman" w:cs="Times New Roman"/>
                <w:i/>
                <w:sz w:val="26"/>
                <w:szCs w:val="28"/>
              </w:rPr>
              <w:t>1</w:t>
            </w:r>
            <w:r w:rsidR="009403ED">
              <w:rPr>
                <w:rFonts w:ascii="Times New Roman" w:eastAsia="Times New Roman" w:hAnsi="Times New Roman" w:cs="Times New Roman"/>
                <w:i/>
                <w:sz w:val="26"/>
                <w:szCs w:val="28"/>
              </w:rPr>
              <w:t>1</w:t>
            </w:r>
            <w:r w:rsidR="00A36A2A">
              <w:rPr>
                <w:rFonts w:ascii="Times New Roman" w:eastAsia="Times New Roman" w:hAnsi="Times New Roman" w:cs="Times New Roman"/>
                <w:i/>
                <w:sz w:val="26"/>
                <w:szCs w:val="28"/>
              </w:rPr>
              <w:t xml:space="preserve"> </w:t>
            </w:r>
            <w:r w:rsidR="005A4083" w:rsidRPr="005A4083">
              <w:rPr>
                <w:rFonts w:ascii="Times New Roman" w:eastAsia="Times New Roman" w:hAnsi="Times New Roman" w:cs="Times New Roman"/>
                <w:i/>
                <w:sz w:val="26"/>
                <w:szCs w:val="28"/>
              </w:rPr>
              <w:t xml:space="preserve">tháng </w:t>
            </w:r>
            <w:r>
              <w:rPr>
                <w:rFonts w:ascii="Times New Roman" w:eastAsia="Times New Roman" w:hAnsi="Times New Roman" w:cs="Times New Roman"/>
                <w:i/>
                <w:sz w:val="26"/>
                <w:szCs w:val="28"/>
              </w:rPr>
              <w:t>7</w:t>
            </w:r>
            <w:r w:rsidR="005A4083" w:rsidRPr="005A4083">
              <w:rPr>
                <w:rFonts w:ascii="Times New Roman" w:eastAsia="Times New Roman" w:hAnsi="Times New Roman" w:cs="Times New Roman"/>
                <w:i/>
                <w:sz w:val="26"/>
                <w:szCs w:val="28"/>
              </w:rPr>
              <w:t xml:space="preserve"> năm 202</w:t>
            </w:r>
            <w:r>
              <w:rPr>
                <w:rFonts w:ascii="Times New Roman" w:eastAsia="Times New Roman" w:hAnsi="Times New Roman" w:cs="Times New Roman"/>
                <w:i/>
                <w:sz w:val="26"/>
                <w:szCs w:val="28"/>
              </w:rPr>
              <w:t>5</w:t>
            </w:r>
          </w:p>
        </w:tc>
      </w:tr>
    </w:tbl>
    <w:p w14:paraId="70BC44D9" w14:textId="77777777" w:rsidR="007C09DF" w:rsidRDefault="007C09DF" w:rsidP="00AA6200">
      <w:pPr>
        <w:widowControl w:val="0"/>
        <w:pBdr>
          <w:top w:val="nil"/>
          <w:left w:val="nil"/>
          <w:bottom w:val="nil"/>
          <w:right w:val="nil"/>
          <w:between w:val="nil"/>
        </w:pBdr>
        <w:ind w:right="-6"/>
        <w:jc w:val="center"/>
        <w:rPr>
          <w:rFonts w:ascii="Times New Roman" w:eastAsia="Times" w:hAnsi="Times New Roman" w:cs="Times New Roman"/>
          <w:b/>
          <w:bCs/>
          <w:color w:val="000000"/>
          <w:sz w:val="28"/>
          <w:szCs w:val="28"/>
        </w:rPr>
      </w:pPr>
    </w:p>
    <w:p w14:paraId="13DF3447" w14:textId="003EEFA5" w:rsidR="003E3608" w:rsidRPr="003E3608" w:rsidRDefault="007C09DF" w:rsidP="00AA6200">
      <w:pPr>
        <w:widowControl w:val="0"/>
        <w:pBdr>
          <w:top w:val="nil"/>
          <w:left w:val="nil"/>
          <w:bottom w:val="nil"/>
          <w:right w:val="nil"/>
          <w:between w:val="nil"/>
        </w:pBdr>
        <w:ind w:right="-6"/>
        <w:jc w:val="center"/>
        <w:rPr>
          <w:rFonts w:ascii="Times New Roman" w:eastAsia="Times" w:hAnsi="Times New Roman" w:cs="Times New Roman"/>
          <w:b/>
          <w:bCs/>
          <w:color w:val="000000"/>
          <w:sz w:val="28"/>
          <w:szCs w:val="28"/>
        </w:rPr>
      </w:pPr>
      <w:r>
        <w:rPr>
          <w:rFonts w:ascii="Times New Roman" w:eastAsia="Times" w:hAnsi="Times New Roman" w:cs="Times New Roman"/>
          <w:b/>
          <w:bCs/>
          <w:color w:val="000000"/>
          <w:sz w:val="28"/>
          <w:szCs w:val="28"/>
        </w:rPr>
        <w:t>BÁO CÁO</w:t>
      </w:r>
    </w:p>
    <w:p w14:paraId="74E54DA0" w14:textId="0E162F0A" w:rsidR="003E3608" w:rsidRPr="003E3608" w:rsidRDefault="007C09DF" w:rsidP="00AA6200">
      <w:pPr>
        <w:widowControl w:val="0"/>
        <w:pBdr>
          <w:top w:val="nil"/>
          <w:left w:val="nil"/>
          <w:bottom w:val="nil"/>
          <w:right w:val="nil"/>
          <w:between w:val="nil"/>
        </w:pBdr>
        <w:ind w:right="-6"/>
        <w:jc w:val="center"/>
        <w:rPr>
          <w:rFonts w:ascii="Times New Roman" w:eastAsia="Times" w:hAnsi="Times New Roman" w:cs="Times New Roman"/>
          <w:b/>
          <w:bCs/>
          <w:color w:val="000000"/>
          <w:sz w:val="28"/>
          <w:szCs w:val="28"/>
        </w:rPr>
      </w:pPr>
      <w:r>
        <w:rPr>
          <w:rFonts w:ascii="Times New Roman" w:eastAsia="Times" w:hAnsi="Times New Roman" w:cs="Times New Roman"/>
          <w:b/>
          <w:bCs/>
          <w:color w:val="000000"/>
          <w:sz w:val="28"/>
          <w:szCs w:val="28"/>
        </w:rPr>
        <w:t>Đ</w:t>
      </w:r>
      <w:r w:rsidRPr="007C09DF">
        <w:rPr>
          <w:rFonts w:ascii="Times New Roman" w:eastAsia="Times" w:hAnsi="Times New Roman" w:cs="Times New Roman"/>
          <w:b/>
          <w:bCs/>
          <w:color w:val="000000"/>
          <w:sz w:val="28"/>
          <w:szCs w:val="28"/>
        </w:rPr>
        <w:t>ánh giá tình hình thực hiện Kế hoạch phát triển kinh tế xã hội năm 2025 và giai đoạn 2021-2025; xây dựng Kế hoạch phát triển kinh tế xã hội năm 2026 lĩnh vực giáo dục và đào tạo.</w:t>
      </w:r>
    </w:p>
    <w:p w14:paraId="6B60D1CC" w14:textId="76ACCF1D" w:rsidR="003E3608" w:rsidRDefault="003E3608" w:rsidP="003E3608">
      <w:pPr>
        <w:widowControl w:val="0"/>
        <w:pBdr>
          <w:top w:val="nil"/>
          <w:left w:val="nil"/>
          <w:bottom w:val="nil"/>
          <w:right w:val="nil"/>
          <w:between w:val="nil"/>
        </w:pBdr>
        <w:spacing w:before="120" w:line="240" w:lineRule="auto"/>
        <w:ind w:right="-5" w:firstLine="709"/>
        <w:jc w:val="both"/>
        <w:rPr>
          <w:rFonts w:ascii="Times New Roman" w:eastAsia="Times" w:hAnsi="Times New Roman" w:cs="Times New Roman"/>
          <w:color w:val="000000"/>
          <w:sz w:val="28"/>
          <w:szCs w:val="28"/>
        </w:rPr>
      </w:pPr>
      <w:r w:rsidRPr="005A4083">
        <w:rPr>
          <w:rFonts w:ascii="Times New Roman" w:eastAsia="Times New Roman" w:hAnsi="Times New Roman" w:cs="Times New Roman"/>
          <w:b/>
          <w:noProof/>
          <w:sz w:val="24"/>
          <w:szCs w:val="28"/>
        </w:rPr>
        <mc:AlternateContent>
          <mc:Choice Requires="wps">
            <w:drawing>
              <wp:anchor distT="0" distB="0" distL="114300" distR="114300" simplePos="0" relativeHeight="251662336" behindDoc="0" locked="0" layoutInCell="1" allowOverlap="1" wp14:anchorId="23F9B31E" wp14:editId="352F3074">
                <wp:simplePos x="0" y="0"/>
                <wp:positionH relativeFrom="margin">
                  <wp:posOffset>2190115</wp:posOffset>
                </wp:positionH>
                <wp:positionV relativeFrom="paragraph">
                  <wp:posOffset>26035</wp:posOffset>
                </wp:positionV>
                <wp:extent cx="1476000" cy="0"/>
                <wp:effectExtent l="0" t="0" r="0" b="0"/>
                <wp:wrapNone/>
                <wp:docPr id="170177298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1238B"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2.45pt,2.05pt" to="288.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">
                <w10:wrap anchorx="margin"/>
              </v:line>
            </w:pict>
          </mc:Fallback>
        </mc:AlternateContent>
      </w:r>
    </w:p>
    <w:p w14:paraId="4773899F" w14:textId="01DAE4B7" w:rsidR="00A644F4" w:rsidRPr="009403ED" w:rsidRDefault="007C09DF" w:rsidP="009403ED">
      <w:pPr>
        <w:pStyle w:val="BodyText"/>
        <w:widowControl w:val="0"/>
        <w:spacing w:after="120" w:line="276" w:lineRule="auto"/>
        <w:ind w:firstLine="720"/>
        <w:rPr>
          <w:rFonts w:ascii="Times New Roman" w:hAnsi="Times New Roman"/>
          <w:bCs w:val="0"/>
          <w:szCs w:val="28"/>
        </w:rPr>
      </w:pPr>
      <w:r w:rsidRPr="009403ED">
        <w:rPr>
          <w:rFonts w:ascii="Times New Roman" w:hAnsi="Times New Roman"/>
          <w:bCs w:val="0"/>
          <w:spacing w:val="-2"/>
          <w:szCs w:val="28"/>
        </w:rPr>
        <w:t>Thực hiện</w:t>
      </w:r>
      <w:r w:rsidR="00A644F4" w:rsidRPr="009403ED">
        <w:rPr>
          <w:rFonts w:ascii="Times New Roman" w:hAnsi="Times New Roman"/>
          <w:bCs w:val="0"/>
          <w:spacing w:val="-2"/>
          <w:szCs w:val="28"/>
        </w:rPr>
        <w:t xml:space="preserve"> Công văn số </w:t>
      </w:r>
      <w:r w:rsidRPr="009403ED">
        <w:rPr>
          <w:rFonts w:ascii="Times New Roman" w:hAnsi="Times New Roman"/>
          <w:bCs w:val="0"/>
          <w:spacing w:val="-2"/>
          <w:szCs w:val="28"/>
        </w:rPr>
        <w:t>1913/</w:t>
      </w:r>
      <w:r w:rsidR="00A644F4" w:rsidRPr="009403ED">
        <w:rPr>
          <w:rFonts w:ascii="Times New Roman" w:hAnsi="Times New Roman"/>
          <w:bCs w:val="0"/>
          <w:spacing w:val="-2"/>
          <w:szCs w:val="28"/>
        </w:rPr>
        <w:t xml:space="preserve">SGDĐT-KHTC ngày </w:t>
      </w:r>
      <w:r w:rsidRPr="009403ED">
        <w:rPr>
          <w:rFonts w:ascii="Times New Roman" w:hAnsi="Times New Roman"/>
          <w:bCs w:val="0"/>
          <w:spacing w:val="-2"/>
          <w:szCs w:val="28"/>
        </w:rPr>
        <w:t>03/7/2025</w:t>
      </w:r>
      <w:r w:rsidR="00A644F4" w:rsidRPr="009403ED">
        <w:rPr>
          <w:rFonts w:ascii="Times New Roman" w:hAnsi="Times New Roman"/>
          <w:bCs w:val="0"/>
          <w:spacing w:val="-2"/>
          <w:szCs w:val="28"/>
        </w:rPr>
        <w:t xml:space="preserve"> của Sở Giáo dục và Đào tạo về việc </w:t>
      </w:r>
      <w:r w:rsidRPr="009403ED">
        <w:rPr>
          <w:rFonts w:ascii="Times New Roman" w:hAnsi="Times New Roman"/>
          <w:bCs w:val="0"/>
          <w:spacing w:val="-2"/>
          <w:szCs w:val="28"/>
        </w:rPr>
        <w:t>báo cáo tình hình thực hiện Kế hoạch phát triển kinh tế xã hội năm 2025, giai đoạn 2021-2025 và xây dựng Kế hoạch phát triển kinh tế xã hội năm 2026 lĩnh vực giáo dục và đào tạo</w:t>
      </w:r>
      <w:r w:rsidR="00C93B17" w:rsidRPr="009403ED">
        <w:rPr>
          <w:rFonts w:ascii="Times New Roman" w:hAnsi="Times New Roman"/>
          <w:bCs w:val="0"/>
          <w:spacing w:val="-2"/>
          <w:szCs w:val="28"/>
        </w:rPr>
        <w:t>; Công văn số 2008/SGDĐT-KHTC ngày 11/7/2025 của Sở Giáo dục và Đào tạo về việc rà soát, cung cấp bổ sung số liệu thông tin xây dựng Kế hoạch phát triển kinh tế - xã hội và dự toán NSNN 2026, Kế hoạch tài chính - NSNN 3 năm 2026-2028 thuộc lĩnh vực giáo dục, đào tạo và giáo dục nghề nghiệp</w:t>
      </w:r>
      <w:r w:rsidRPr="009403ED">
        <w:rPr>
          <w:rFonts w:ascii="Times New Roman" w:hAnsi="Times New Roman"/>
          <w:bCs w:val="0"/>
          <w:spacing w:val="-2"/>
          <w:szCs w:val="28"/>
        </w:rPr>
        <w:t xml:space="preserve">. </w:t>
      </w:r>
      <w:r w:rsidRPr="009403ED">
        <w:rPr>
          <w:rFonts w:ascii="Times New Roman" w:hAnsi="Times New Roman"/>
          <w:bCs w:val="0"/>
          <w:szCs w:val="28"/>
        </w:rPr>
        <w:t>Trung tâm GDNN-GDTX 1 báo cáo nội dung</w:t>
      </w:r>
      <w:r w:rsidR="00A644F4" w:rsidRPr="009403ED">
        <w:rPr>
          <w:rFonts w:ascii="Times New Roman" w:hAnsi="Times New Roman"/>
          <w:bCs w:val="0"/>
          <w:szCs w:val="28"/>
        </w:rPr>
        <w:t xml:space="preserve"> như sau:</w:t>
      </w:r>
    </w:p>
    <w:p w14:paraId="3B97CE74" w14:textId="4C9F0BB8" w:rsidR="007C09DF" w:rsidRPr="009403ED" w:rsidRDefault="007C09DF" w:rsidP="009403ED">
      <w:pPr>
        <w:pStyle w:val="Heading1"/>
        <w:ind w:firstLine="720"/>
        <w:jc w:val="both"/>
        <w:rPr>
          <w:rStyle w:val="Strong"/>
          <w:rFonts w:cs="Times New Roman"/>
          <w:b/>
          <w:bCs w:val="0"/>
          <w:szCs w:val="28"/>
        </w:rPr>
      </w:pPr>
      <w:r w:rsidRPr="009403ED">
        <w:rPr>
          <w:rStyle w:val="Strong"/>
          <w:rFonts w:cs="Times New Roman"/>
          <w:b/>
          <w:bCs w:val="0"/>
          <w:szCs w:val="28"/>
        </w:rPr>
        <w:t>A. KẾT QUẢ THỰC HIỆN KẾ HOẠCH PHÁT TRIỂN GIÁO DỤC ĐÀO TẠO NĂM 2024; THỰC HIỆN 6 THÁNG NĂM 2025 VÀ ƯỚC THỰC HIỆN CẢ NĂM 2025</w:t>
      </w:r>
    </w:p>
    <w:p w14:paraId="49D81E9B" w14:textId="4A0F7DD7" w:rsidR="007C09DF" w:rsidRPr="009403ED" w:rsidRDefault="007C09DF" w:rsidP="009403ED">
      <w:pPr>
        <w:pStyle w:val="Heading2"/>
        <w:ind w:firstLine="720"/>
        <w:rPr>
          <w:rStyle w:val="Strong"/>
          <w:rFonts w:cs="Times New Roman"/>
          <w:b/>
          <w:color w:val="000000"/>
          <w:szCs w:val="28"/>
          <w:lang w:val="es-BO"/>
        </w:rPr>
      </w:pPr>
      <w:r w:rsidRPr="009403ED">
        <w:rPr>
          <w:rStyle w:val="Strong"/>
          <w:rFonts w:cs="Times New Roman"/>
          <w:b/>
          <w:color w:val="000000"/>
          <w:szCs w:val="28"/>
          <w:lang w:val="es-BO"/>
        </w:rPr>
        <w:t>I. ĐÁNH GIÁ TÌNH HÌNH THỰC HIỆN KẾ HOẠCH NĂM 2024, 6 THÁNG ĐẦU NĂM 2025 VÀ ƯỚC CẢ NĂM 2025</w:t>
      </w:r>
    </w:p>
    <w:p w14:paraId="031AF608" w14:textId="3F116667" w:rsidR="007C09DF" w:rsidRPr="009403ED" w:rsidRDefault="007C09DF" w:rsidP="009403ED">
      <w:pPr>
        <w:pStyle w:val="NormalWeb"/>
        <w:spacing w:before="120" w:beforeAutospacing="0" w:after="120" w:afterAutospacing="0" w:line="276" w:lineRule="auto"/>
        <w:ind w:firstLine="720"/>
        <w:jc w:val="both"/>
        <w:outlineLvl w:val="2"/>
        <w:rPr>
          <w:b/>
          <w:bCs/>
          <w:i/>
          <w:iCs/>
          <w:color w:val="000000"/>
          <w:sz w:val="28"/>
          <w:szCs w:val="28"/>
          <w:lang w:val="es-BO"/>
        </w:rPr>
      </w:pPr>
      <w:r w:rsidRPr="009403ED">
        <w:rPr>
          <w:b/>
          <w:bCs/>
          <w:i/>
          <w:iCs/>
          <w:color w:val="000000"/>
          <w:sz w:val="28"/>
          <w:szCs w:val="28"/>
          <w:lang w:val="es-BO"/>
        </w:rPr>
        <w:t>1. Kết quả thực hiện các chỉ tiêu phát triển giáo dục</w:t>
      </w:r>
    </w:p>
    <w:p w14:paraId="3C5D3C97" w14:textId="093CC0EF" w:rsidR="007C09DF" w:rsidRPr="009403ED" w:rsidRDefault="007C09DF" w:rsidP="009403ED">
      <w:pPr>
        <w:pStyle w:val="NormalWeb"/>
        <w:spacing w:before="120" w:beforeAutospacing="0" w:after="120" w:afterAutospacing="0" w:line="276" w:lineRule="auto"/>
        <w:ind w:firstLine="720"/>
        <w:jc w:val="both"/>
        <w:rPr>
          <w:color w:val="000000"/>
          <w:sz w:val="28"/>
          <w:szCs w:val="28"/>
          <w:lang w:val="es-BO"/>
        </w:rPr>
      </w:pPr>
      <w:r w:rsidRPr="009403ED">
        <w:rPr>
          <w:color w:val="000000"/>
          <w:sz w:val="28"/>
          <w:szCs w:val="28"/>
          <w:lang w:val="es-BO"/>
        </w:rPr>
        <w:t>a) Quy mô trường, lớp, học sinh, đội ngũ giáo viên</w:t>
      </w:r>
    </w:p>
    <w:p w14:paraId="6C49408C" w14:textId="53B188B1" w:rsidR="00CC7F7E" w:rsidRPr="009403ED" w:rsidRDefault="00CC7F7E" w:rsidP="009403ED">
      <w:pPr>
        <w:pStyle w:val="NormalWeb"/>
        <w:spacing w:before="120" w:beforeAutospacing="0" w:after="120" w:afterAutospacing="0" w:line="276" w:lineRule="auto"/>
        <w:ind w:firstLine="720"/>
        <w:jc w:val="both"/>
        <w:rPr>
          <w:color w:val="000000"/>
          <w:sz w:val="28"/>
          <w:szCs w:val="28"/>
          <w:lang w:val="es-BO"/>
        </w:rPr>
      </w:pPr>
      <w:r w:rsidRPr="009403ED">
        <w:rPr>
          <w:color w:val="000000"/>
          <w:sz w:val="28"/>
          <w:szCs w:val="28"/>
          <w:lang w:val="es-BO"/>
        </w:rPr>
        <w:t>Toàn Trung tâm GDNN-GDTX 1 có 01 điểm trường chính (Trung tâm GDTX tỉnh) và các cơ sở đào tạo tại Xã Na Son và phường Mường Thanh, tỉnh Điện Biên. Tổng số 859 học viên đang theo học chương trình GDTX cấp THPT, phân bổ ở 3 khối lớp 10, 11, 12. Tại Trung tâm GDTX tỉnh có 404 học viên; Trung tâm huyện Điện Biên cũ (phường Mường Thanh) 391 học viên (lớp 10: 173, lớp 11: 141, lớp 12: 77); Trung tâm huyện Điện Biên Đông cũ (Xã Na Son) 64 học viên.</w:t>
      </w:r>
    </w:p>
    <w:p w14:paraId="600EF5E9" w14:textId="25DE8CBE" w:rsidR="007461FF" w:rsidRPr="009403ED" w:rsidRDefault="007461FF" w:rsidP="009403ED">
      <w:pPr>
        <w:pStyle w:val="NormalWeb"/>
        <w:spacing w:before="120" w:beforeAutospacing="0" w:after="120" w:afterAutospacing="0" w:line="276" w:lineRule="auto"/>
        <w:ind w:firstLine="720"/>
        <w:jc w:val="both"/>
        <w:rPr>
          <w:color w:val="000000"/>
          <w:sz w:val="28"/>
          <w:szCs w:val="28"/>
          <w:lang w:val="es-BO"/>
        </w:rPr>
      </w:pPr>
      <w:r w:rsidRPr="009403ED">
        <w:rPr>
          <w:color w:val="000000"/>
          <w:sz w:val="28"/>
          <w:szCs w:val="28"/>
          <w:lang w:val="es-BO"/>
        </w:rPr>
        <w:t>Năm học 2024</w:t>
      </w:r>
      <w:r w:rsidR="00CC7F7E" w:rsidRPr="009403ED">
        <w:rPr>
          <w:color w:val="000000"/>
          <w:sz w:val="28"/>
          <w:szCs w:val="28"/>
          <w:lang w:val="es-BO"/>
        </w:rPr>
        <w:t>-</w:t>
      </w:r>
      <w:r w:rsidRPr="009403ED">
        <w:rPr>
          <w:color w:val="000000"/>
          <w:sz w:val="28"/>
          <w:szCs w:val="28"/>
          <w:lang w:val="es-BO"/>
        </w:rPr>
        <w:t xml:space="preserve">2025, quy mô giáo dục của Trung tâm GDNN-GDTX 1 (gồm 4 cơ sở sáp nhập) duy trì 22 lớp với 859 học viên chương trình GDTX cấp THPT. Cụ thể: Trung tâm GDTX tỉnh có 10 lớp/404 học viên; Trung tâm GDNN-GDTX huyện Điện Biên 9 lớp/391 học viên; Trung tâm GDNN-GDTX huyện Điện Biên Đông 3 lớp/64 học viên. Đội ngũ giáo viên cơ hữu gồm 53 giáo viên, trong đó: 26 giáo viên tại Trung tâm GDTX tỉnh cũ, 11 giáo viên tại Trung tâm GDNN-GDTX huyện Điện Biên cũ, 05 giáo viên tại Trung tâm GDNN-GDTX huyện Điện Biên Đông </w:t>
      </w:r>
      <w:r w:rsidR="0075310C">
        <w:rPr>
          <w:color w:val="000000"/>
          <w:sz w:val="28"/>
          <w:szCs w:val="28"/>
          <w:lang w:val="es-BO"/>
        </w:rPr>
        <w:t>c</w:t>
      </w:r>
      <w:r w:rsidRPr="009403ED">
        <w:rPr>
          <w:color w:val="000000"/>
          <w:sz w:val="28"/>
          <w:szCs w:val="28"/>
          <w:lang w:val="es-BO"/>
        </w:rPr>
        <w:t xml:space="preserve">ũ, và 11 </w:t>
      </w:r>
      <w:r w:rsidRPr="009403ED">
        <w:rPr>
          <w:color w:val="000000"/>
          <w:sz w:val="28"/>
          <w:szCs w:val="28"/>
          <w:lang w:val="es-BO"/>
        </w:rPr>
        <w:lastRenderedPageBreak/>
        <w:t xml:space="preserve">giáo viên tại Trung tâm Ngoại ngữ </w:t>
      </w:r>
      <w:r w:rsidR="009403ED">
        <w:rPr>
          <w:color w:val="000000"/>
          <w:sz w:val="28"/>
          <w:szCs w:val="28"/>
          <w:lang w:val="es-BO"/>
        </w:rPr>
        <w:t>-</w:t>
      </w:r>
      <w:r w:rsidRPr="009403ED">
        <w:rPr>
          <w:color w:val="000000"/>
          <w:sz w:val="28"/>
          <w:szCs w:val="28"/>
          <w:lang w:val="es-BO"/>
        </w:rPr>
        <w:t xml:space="preserve"> Tin học cũ. Tỷ lệ giáo viên đạt chuẩn và trên chuẩn đạt 100% (có </w:t>
      </w:r>
      <w:r w:rsidR="00CC7F7E" w:rsidRPr="009403ED">
        <w:rPr>
          <w:color w:val="000000"/>
          <w:sz w:val="28"/>
          <w:szCs w:val="28"/>
          <w:lang w:val="es-BO"/>
        </w:rPr>
        <w:t>1</w:t>
      </w:r>
      <w:r w:rsidRPr="009403ED">
        <w:rPr>
          <w:color w:val="000000"/>
          <w:sz w:val="28"/>
          <w:szCs w:val="28"/>
          <w:lang w:val="es-BO"/>
        </w:rPr>
        <w:t xml:space="preserve">5 thạc sĩ, </w:t>
      </w:r>
      <w:r w:rsidR="00CC7F7E" w:rsidRPr="009403ED">
        <w:rPr>
          <w:color w:val="000000"/>
          <w:sz w:val="28"/>
          <w:szCs w:val="28"/>
          <w:lang w:val="es-BO"/>
        </w:rPr>
        <w:t>40</w:t>
      </w:r>
      <w:r w:rsidRPr="009403ED">
        <w:rPr>
          <w:color w:val="000000"/>
          <w:sz w:val="28"/>
          <w:szCs w:val="28"/>
          <w:lang w:val="es-BO"/>
        </w:rPr>
        <w:t xml:space="preserve"> cử nhân trên tổng </w:t>
      </w:r>
      <w:r w:rsidR="00CC7F7E" w:rsidRPr="009403ED">
        <w:rPr>
          <w:color w:val="000000"/>
          <w:sz w:val="28"/>
          <w:szCs w:val="28"/>
          <w:lang w:val="es-BO"/>
        </w:rPr>
        <w:t>55</w:t>
      </w:r>
      <w:r w:rsidRPr="009403ED">
        <w:rPr>
          <w:color w:val="000000"/>
          <w:sz w:val="28"/>
          <w:szCs w:val="28"/>
          <w:lang w:val="es-BO"/>
        </w:rPr>
        <w:t xml:space="preserve"> </w:t>
      </w:r>
      <w:r w:rsidR="00CC7F7E" w:rsidRPr="009403ED">
        <w:rPr>
          <w:color w:val="000000"/>
          <w:sz w:val="28"/>
          <w:szCs w:val="28"/>
          <w:lang w:val="es-BO"/>
        </w:rPr>
        <w:t>viên chức</w:t>
      </w:r>
      <w:r w:rsidRPr="009403ED">
        <w:rPr>
          <w:color w:val="000000"/>
          <w:sz w:val="28"/>
          <w:szCs w:val="28"/>
          <w:lang w:val="es-BO"/>
        </w:rPr>
        <w:t xml:space="preserve"> giáo viên).</w:t>
      </w:r>
    </w:p>
    <w:p w14:paraId="5FEA42B9" w14:textId="7AC23769" w:rsidR="007C09DF" w:rsidRPr="009403ED" w:rsidRDefault="007C09DF" w:rsidP="009403ED">
      <w:pPr>
        <w:pStyle w:val="NormalWeb"/>
        <w:spacing w:before="120" w:beforeAutospacing="0" w:after="120" w:afterAutospacing="0" w:line="276" w:lineRule="auto"/>
        <w:ind w:firstLine="720"/>
        <w:jc w:val="both"/>
        <w:rPr>
          <w:color w:val="000000"/>
          <w:sz w:val="28"/>
          <w:szCs w:val="28"/>
          <w:lang w:val="es-BO"/>
        </w:rPr>
      </w:pPr>
      <w:r w:rsidRPr="009403ED">
        <w:rPr>
          <w:color w:val="000000"/>
          <w:sz w:val="28"/>
          <w:szCs w:val="28"/>
          <w:lang w:val="es-BO"/>
        </w:rPr>
        <w:t>b) Tỷ lệ huy động trẻ em/số học sinh đúng độ tuổi</w:t>
      </w:r>
    </w:p>
    <w:p w14:paraId="150F0AEE" w14:textId="6436748C" w:rsidR="00CC7F7E" w:rsidRPr="009403ED" w:rsidRDefault="00CC7F7E" w:rsidP="009403ED">
      <w:pPr>
        <w:pStyle w:val="NormalWeb"/>
        <w:spacing w:before="120" w:beforeAutospacing="0" w:after="120" w:afterAutospacing="0" w:line="276" w:lineRule="auto"/>
        <w:ind w:firstLine="720"/>
        <w:jc w:val="both"/>
        <w:rPr>
          <w:color w:val="000000"/>
          <w:sz w:val="28"/>
          <w:szCs w:val="28"/>
          <w:lang w:val="es-BO"/>
        </w:rPr>
      </w:pPr>
      <w:r w:rsidRPr="009403ED">
        <w:rPr>
          <w:color w:val="000000"/>
          <w:sz w:val="28"/>
          <w:szCs w:val="28"/>
          <w:lang w:val="es-BO"/>
        </w:rPr>
        <w:t>Số học viên thuộc độ tuổi THPT đạt trên 95%. Cụ thể, Trung tâm GDTX tỉnh và Điện Biên Đông cũ có 100% học viên trong độ tuổi (404/404 và 64/64 học viên tương ứng); Trung tâm GDNN-GDTX huyện Điện Biên cũ tỷ lệ trên 90% do có một số học viên lớn tuổi hơn độ tuổi chuẩn.</w:t>
      </w:r>
    </w:p>
    <w:p w14:paraId="390EAA32" w14:textId="07D4A5E4" w:rsidR="007C09DF" w:rsidRPr="009403ED" w:rsidRDefault="007C09DF" w:rsidP="009403ED">
      <w:pPr>
        <w:pStyle w:val="NormalWeb"/>
        <w:spacing w:before="120" w:beforeAutospacing="0" w:after="120" w:afterAutospacing="0" w:line="276" w:lineRule="auto"/>
        <w:ind w:firstLine="720"/>
        <w:jc w:val="both"/>
        <w:rPr>
          <w:color w:val="000000"/>
          <w:sz w:val="28"/>
          <w:szCs w:val="28"/>
          <w:lang w:val="es-BO"/>
        </w:rPr>
      </w:pPr>
      <w:r w:rsidRPr="009403ED">
        <w:rPr>
          <w:color w:val="000000"/>
          <w:sz w:val="28"/>
          <w:szCs w:val="28"/>
          <w:lang w:val="es-BO"/>
        </w:rPr>
        <w:t>c) Kết quả phổ cập giáo dục, xóa mù chữ</w:t>
      </w:r>
    </w:p>
    <w:p w14:paraId="6C822359" w14:textId="6640F726" w:rsidR="00CC7F7E" w:rsidRPr="009403ED" w:rsidRDefault="00CC7F7E" w:rsidP="009403ED">
      <w:pPr>
        <w:pStyle w:val="NormalWeb"/>
        <w:spacing w:before="120" w:beforeAutospacing="0" w:after="120" w:afterAutospacing="0" w:line="276" w:lineRule="auto"/>
        <w:ind w:firstLine="720"/>
        <w:jc w:val="both"/>
        <w:rPr>
          <w:color w:val="000000"/>
          <w:sz w:val="28"/>
          <w:szCs w:val="28"/>
          <w:lang w:val="es-BO"/>
        </w:rPr>
      </w:pPr>
      <w:r w:rsidRPr="009403ED">
        <w:rPr>
          <w:color w:val="000000"/>
          <w:sz w:val="28"/>
          <w:szCs w:val="28"/>
          <w:lang w:val="es-BO"/>
        </w:rPr>
        <w:t>Các trung tâm không thực hiện nhiệm vụ phổ cập giáo dục hay xóa mù chữ riêng (không tổ chức lớp phổ cập, xóa mù). Nhiệm vụ này do các đơn vị khác trên địa bàn đảm nhiệm, Trung tâm tập trung vào giáo dục thường xuyên cấp THPT và đào tạo nghề.</w:t>
      </w:r>
    </w:p>
    <w:p w14:paraId="02A404BA" w14:textId="03ECE14A" w:rsidR="007C09DF" w:rsidRPr="009403ED" w:rsidRDefault="007C09DF" w:rsidP="009403ED">
      <w:pPr>
        <w:pStyle w:val="NormalWeb"/>
        <w:spacing w:before="120" w:beforeAutospacing="0" w:after="120" w:afterAutospacing="0" w:line="276" w:lineRule="auto"/>
        <w:ind w:firstLine="720"/>
        <w:jc w:val="both"/>
        <w:rPr>
          <w:color w:val="000000"/>
          <w:sz w:val="28"/>
          <w:szCs w:val="28"/>
          <w:lang w:val="es-BO"/>
        </w:rPr>
      </w:pPr>
      <w:r w:rsidRPr="009403ED">
        <w:rPr>
          <w:color w:val="000000"/>
          <w:sz w:val="28"/>
          <w:szCs w:val="28"/>
          <w:lang w:val="es-BO"/>
        </w:rPr>
        <w:t>d) Tình hình duy trì sĩ số, học sinh bỏ học, chuyển trường</w:t>
      </w:r>
    </w:p>
    <w:p w14:paraId="3F86D890" w14:textId="35DA7904" w:rsidR="00CC7F7E" w:rsidRPr="009403ED" w:rsidRDefault="00CC7F7E" w:rsidP="009403ED">
      <w:pPr>
        <w:pStyle w:val="NormalWeb"/>
        <w:spacing w:before="120" w:beforeAutospacing="0" w:after="120" w:afterAutospacing="0" w:line="276" w:lineRule="auto"/>
        <w:ind w:firstLine="720"/>
        <w:jc w:val="both"/>
        <w:rPr>
          <w:color w:val="000000"/>
          <w:sz w:val="28"/>
          <w:szCs w:val="28"/>
          <w:lang w:val="es-BO"/>
        </w:rPr>
      </w:pPr>
      <w:r w:rsidRPr="009403ED">
        <w:rPr>
          <w:color w:val="000000"/>
          <w:sz w:val="28"/>
          <w:szCs w:val="28"/>
          <w:lang w:val="es-BO"/>
        </w:rPr>
        <w:t>Công tác duy trì sĩ số học viên gặp nhiều khó khăn. Tỷ lệ duy trì sĩ số bình quân đạt khoảng 85%, chưa đạt kế hoạch đề ra. Năm học 2024-2025, Trung tâm GDTX tỉnh có 07 học viên bỏ học giữa chừng (chiếm ~1.7%); 63 học viên chuyển sang học trung cấp nghề (rời chương trình văn hóa). Trung tâm huyện Điện Biên cũng có một số học viên bỏ học do không vượt qua được áp lực học cùng lúc hai chương trình văn hóa và nghề. Tại Trung tâm huyện Điện Biên Đông, có 09 học viên bỏ học sau học kỳ I, đưa tỷ lệ duy trì sĩ số cuối năm xuống còn 87,7%. Không có trường hợp học viên chuyển sang trường THPT khác trong kỳ báo cáo.</w:t>
      </w:r>
    </w:p>
    <w:p w14:paraId="69560EC3" w14:textId="318B95F9" w:rsidR="007C09DF" w:rsidRPr="009403ED" w:rsidRDefault="007C09DF" w:rsidP="009403ED">
      <w:pPr>
        <w:pStyle w:val="NormalWeb"/>
        <w:spacing w:before="120" w:beforeAutospacing="0" w:after="120" w:afterAutospacing="0" w:line="276" w:lineRule="auto"/>
        <w:ind w:firstLine="720"/>
        <w:jc w:val="both"/>
        <w:rPr>
          <w:color w:val="000000"/>
          <w:sz w:val="28"/>
          <w:szCs w:val="28"/>
          <w:lang w:val="es-BO"/>
        </w:rPr>
      </w:pPr>
      <w:r w:rsidRPr="009403ED">
        <w:rPr>
          <w:color w:val="000000"/>
          <w:sz w:val="28"/>
          <w:szCs w:val="28"/>
          <w:lang w:val="es-BO"/>
        </w:rPr>
        <w:t>e) Chất lượng hai mặt giáo dục học sinh</w:t>
      </w:r>
    </w:p>
    <w:p w14:paraId="25813BB7" w14:textId="377219AD" w:rsidR="007C09DF" w:rsidRPr="009403ED" w:rsidRDefault="00CC7F7E" w:rsidP="009403ED">
      <w:pPr>
        <w:pStyle w:val="NormalWeb"/>
        <w:spacing w:before="120" w:beforeAutospacing="0" w:after="120" w:afterAutospacing="0" w:line="276" w:lineRule="auto"/>
        <w:ind w:firstLine="720"/>
        <w:jc w:val="both"/>
        <w:rPr>
          <w:iCs/>
          <w:color w:val="000000"/>
          <w:sz w:val="28"/>
          <w:szCs w:val="28"/>
          <w:lang w:val="es-BO"/>
        </w:rPr>
      </w:pPr>
      <w:r w:rsidRPr="009403ED">
        <w:rPr>
          <w:iCs/>
          <w:color w:val="000000"/>
          <w:sz w:val="28"/>
          <w:szCs w:val="28"/>
          <w:lang w:val="es-BO"/>
        </w:rPr>
        <w:t>Chất lượng giáo dục được giữ vững, tỷ lệ học viên xếp loại khá, tốt về hạnh kiểm và học lực đạt trên 95%. Cụ thể, Trung tâm GDTX tỉnh: 97,03% học viên xếp loại hạnh kiểm khá trở lên, 97,03% đạt học lực trung bình trở lên. Tại Trung tâm Điện Biên Đông, 100% học viên có hạnh kiểm từ khá và học lực đạt (trung bình) trở lên. Tuy còn ít học viên đạt loại giỏi (Trung tâm tỉnh: 9,9% học lực tốt; Trung tâm Điện Biên Đông không có học viên đạt học lực giỏi), nhưng hầu hết đều đáp ứng yêu cầu tối thiểu để được lên lớp và tốt nghiệp.</w:t>
      </w:r>
    </w:p>
    <w:p w14:paraId="69DCA309" w14:textId="7867FA19" w:rsidR="007C09DF" w:rsidRPr="009403ED" w:rsidRDefault="007C09DF" w:rsidP="009403ED">
      <w:pPr>
        <w:pStyle w:val="NormalWeb"/>
        <w:spacing w:before="120" w:beforeAutospacing="0" w:after="120" w:afterAutospacing="0" w:line="276" w:lineRule="auto"/>
        <w:ind w:firstLine="720"/>
        <w:jc w:val="both"/>
        <w:outlineLvl w:val="2"/>
        <w:rPr>
          <w:b/>
          <w:bCs/>
          <w:i/>
          <w:iCs/>
          <w:color w:val="000000"/>
          <w:sz w:val="28"/>
          <w:szCs w:val="28"/>
          <w:lang w:val="es-BO"/>
        </w:rPr>
      </w:pPr>
      <w:r w:rsidRPr="009403ED">
        <w:rPr>
          <w:b/>
          <w:bCs/>
          <w:i/>
          <w:iCs/>
          <w:color w:val="000000"/>
          <w:sz w:val="28"/>
          <w:szCs w:val="28"/>
          <w:lang w:val="es-BO"/>
        </w:rPr>
        <w:t>2. Cơ sở vật chất, trang thiết bị</w:t>
      </w:r>
    </w:p>
    <w:p w14:paraId="26844F52" w14:textId="7FAADDCD" w:rsidR="00FB2215" w:rsidRPr="00FB2215" w:rsidRDefault="00FB2215" w:rsidP="009403ED">
      <w:pPr>
        <w:pStyle w:val="NormalWeb"/>
        <w:spacing w:before="120" w:beforeAutospacing="0" w:after="120" w:afterAutospacing="0" w:line="276" w:lineRule="auto"/>
        <w:ind w:firstLine="720"/>
        <w:jc w:val="both"/>
        <w:rPr>
          <w:color w:val="000000"/>
          <w:sz w:val="28"/>
          <w:szCs w:val="28"/>
          <w:lang w:val="es-BO"/>
        </w:rPr>
      </w:pPr>
      <w:r w:rsidRPr="009403ED">
        <w:rPr>
          <w:color w:val="000000"/>
          <w:sz w:val="28"/>
          <w:szCs w:val="28"/>
          <w:lang w:val="es-BO"/>
        </w:rPr>
        <w:t>T</w:t>
      </w:r>
      <w:r w:rsidRPr="00FB2215">
        <w:rPr>
          <w:color w:val="000000"/>
          <w:sz w:val="28"/>
          <w:szCs w:val="28"/>
          <w:lang w:val="es-BO"/>
        </w:rPr>
        <w:t xml:space="preserve">rong năm 2024, không có dự án xây mới trường lớp nào được triển khai tại các cơ sở. Các trung tâm chủ yếu tranh thủ nguồn kinh phí thường xuyên để sửa chữa nhỏ và bổ sung thiết bị dạy học. Trung tâm GDTX tỉnh đã được trang bị thêm </w:t>
      </w:r>
      <w:r w:rsidRPr="00FB2215">
        <w:rPr>
          <w:i/>
          <w:iCs/>
          <w:color w:val="000000"/>
          <w:sz w:val="28"/>
          <w:szCs w:val="28"/>
          <w:lang w:val="es-BO"/>
        </w:rPr>
        <w:t>35 bộ máy vi tính, 01 máy photocopy, 03 máy in, bàn ghế cho giáo viên và học sinh</w:t>
      </w:r>
      <w:r w:rsidRPr="00FB2215">
        <w:rPr>
          <w:color w:val="000000"/>
          <w:sz w:val="28"/>
          <w:szCs w:val="28"/>
          <w:lang w:val="es-BO"/>
        </w:rPr>
        <w:t xml:space="preserve"> nhằm phục vụ dạy học. Các trung tâm khác hầu như chưa được đầu tư mới về thiết bị; nhiều thiết bị dạy học hiện có đã lạc hậu, đặc biệt thiết bị thí nghiệm cho chương trình giáo </w:t>
      </w:r>
      <w:r w:rsidRPr="00FB2215">
        <w:rPr>
          <w:color w:val="000000"/>
          <w:sz w:val="28"/>
          <w:szCs w:val="28"/>
          <w:lang w:val="es-BO"/>
        </w:rPr>
        <w:lastRenderedPageBreak/>
        <w:t>dục phổ thông mới (2018) chưa được cấp bổ sung, phải sử dụng tạm thiết bị từ những năm 2006</w:t>
      </w:r>
      <w:r w:rsidRPr="009403ED">
        <w:rPr>
          <w:color w:val="000000"/>
          <w:sz w:val="28"/>
          <w:szCs w:val="28"/>
          <w:lang w:val="es-BO"/>
        </w:rPr>
        <w:t>-</w:t>
      </w:r>
      <w:r w:rsidRPr="00FB2215">
        <w:rPr>
          <w:color w:val="000000"/>
          <w:sz w:val="28"/>
          <w:szCs w:val="28"/>
          <w:lang w:val="es-BO"/>
        </w:rPr>
        <w:t>2007 (đã hỏng hóc nhiều).</w:t>
      </w:r>
    </w:p>
    <w:p w14:paraId="3CE3B177" w14:textId="3A72D526" w:rsidR="00FB2215" w:rsidRPr="00FB2215" w:rsidRDefault="00FB2215" w:rsidP="009403ED">
      <w:pPr>
        <w:pStyle w:val="NormalWeb"/>
        <w:spacing w:before="120" w:beforeAutospacing="0" w:after="120" w:afterAutospacing="0" w:line="276" w:lineRule="auto"/>
        <w:ind w:firstLine="720"/>
        <w:jc w:val="both"/>
        <w:rPr>
          <w:color w:val="000000"/>
          <w:sz w:val="28"/>
          <w:szCs w:val="28"/>
          <w:lang w:val="es-BO"/>
        </w:rPr>
      </w:pPr>
      <w:r w:rsidRPr="00FB2215">
        <w:rPr>
          <w:color w:val="000000"/>
          <w:sz w:val="28"/>
          <w:szCs w:val="28"/>
          <w:lang w:val="es-BO"/>
        </w:rPr>
        <w:t xml:space="preserve">Trong 6 tháng đầu năm 2025, do thực hiện sáp nhập, cơ sở vật chất có sự điều chỉnh lớn: Trung tâm GDNN-GDTX huyện Điện Biên đã bàn giao cơ sở cũ cho UBND xã Thanh An và chuyển địa điểm hoạt động sang cơ sở Trường Chính trị huyện (cũ) từ 01/7/2025. Cơ sở mới này có quy mô nhỏ, nhiều hạng mục xuống cấp, chưa đáp ứng đầy đủ nhu cầu phòng học chức năng. Trung tâm GDNN-GDTX Điện Biên Đông tiếp tục hoạt động tại cơ sở hiện có; cơ sở vật chất bước đầu đảm bảo cho chương trình GDTX mới song vẫn thiếu các phòng học bộ môn chuyên biệt. Đối với Trung tâm Ngoại ngữ </w:t>
      </w:r>
      <w:r w:rsidRPr="009403ED">
        <w:rPr>
          <w:color w:val="000000"/>
          <w:sz w:val="28"/>
          <w:szCs w:val="28"/>
          <w:lang w:val="es-BO"/>
        </w:rPr>
        <w:t>-</w:t>
      </w:r>
      <w:r w:rsidRPr="00FB2215">
        <w:rPr>
          <w:color w:val="000000"/>
          <w:sz w:val="28"/>
          <w:szCs w:val="28"/>
          <w:lang w:val="es-BO"/>
        </w:rPr>
        <w:t xml:space="preserve"> Tin học, cơ sở nhà đất cũ đã được bàn giao cho đơn vị khác quản lý; hiện Trung tâm phải liên kết mở lớp tại các trường học trên địa bàn, không có trụ sở độc lập. Các trung tâm đều đã đạt tiêu chuẩn “Trường học an toàn” (an ninh, trật tự, an toàn trường học được đảm bảo); riêng tiêu chí “Trường đạt chuẩn quốc gia” chưa đánh giá hoặc chưa đạt đối với các cơ sở GDTX (do đặc thù loại hình, các trung tâm chưa nằm trong lộ trình xây dựng trường chuẩn).</w:t>
      </w:r>
    </w:p>
    <w:p w14:paraId="43CB708D" w14:textId="3F15B6C5" w:rsidR="006F63EB" w:rsidRPr="009403ED" w:rsidRDefault="007C09DF" w:rsidP="009403ED">
      <w:pPr>
        <w:pStyle w:val="NormalWeb"/>
        <w:spacing w:before="120" w:beforeAutospacing="0" w:after="120" w:afterAutospacing="0" w:line="276" w:lineRule="auto"/>
        <w:ind w:firstLine="720"/>
        <w:jc w:val="both"/>
        <w:outlineLvl w:val="2"/>
        <w:rPr>
          <w:b/>
          <w:bCs/>
          <w:i/>
          <w:iCs/>
          <w:color w:val="000000"/>
          <w:sz w:val="28"/>
          <w:szCs w:val="28"/>
          <w:lang w:val="es-BO"/>
        </w:rPr>
      </w:pPr>
      <w:r w:rsidRPr="009403ED">
        <w:rPr>
          <w:b/>
          <w:bCs/>
          <w:i/>
          <w:iCs/>
          <w:color w:val="000000"/>
          <w:sz w:val="28"/>
          <w:szCs w:val="28"/>
          <w:lang w:val="es-BO"/>
        </w:rPr>
        <w:t>3. Công tác quản lý, chỉ đạo và các hoạt động chuyên môn</w:t>
      </w:r>
    </w:p>
    <w:p w14:paraId="021C44D4" w14:textId="10286666" w:rsidR="007C09DF" w:rsidRPr="009403ED" w:rsidRDefault="00792C40" w:rsidP="009403ED">
      <w:pPr>
        <w:pStyle w:val="NormalWeb"/>
        <w:spacing w:before="120" w:beforeAutospacing="0" w:after="120" w:afterAutospacing="0" w:line="276" w:lineRule="auto"/>
        <w:ind w:firstLine="720"/>
        <w:jc w:val="both"/>
        <w:rPr>
          <w:color w:val="000000"/>
          <w:sz w:val="28"/>
          <w:szCs w:val="28"/>
          <w:lang w:val="es-BO"/>
        </w:rPr>
      </w:pPr>
      <w:r w:rsidRPr="009403ED">
        <w:rPr>
          <w:color w:val="000000"/>
          <w:sz w:val="28"/>
          <w:szCs w:val="28"/>
          <w:lang w:val="es-BO"/>
        </w:rPr>
        <w:t>Các trung tâm đã bám sát sự chỉ đạo của Sở GD&amp;ĐT và chính quyền địa phương, tổ chức thực hiện đầy đủ kế hoạch năm học 2024-2025. Công tác đổi mới phương pháp dạy học, kiểm tra đánh giá được chú trọng: giáo viên tích cực áp dụng phương pháp dạy học phát huy tính chủ động, tự học của học viên, tăng cường thực hành, trải nghiệm. Nhiều biện pháp ứng dụng công nghệ thông tin và chuyển đổi số đã được triển khai đồng bộ trong giảng dạy và quản lý. Cụ thể, Trung tâm GDTX tỉnh sử dụng phần mềm SMAS để quản lý điểm và học bạ điện tử, áp dụng chữ ký số và xây dựng môi trường làm việc không giấy tờ (100% cán bộ, giáo viên sử dụng thành thạo các phần mềm quản lý và dạy học). Trung tâm GDNN-GDTX huyện Điện Biên đã triển khai thí điểm Học bạ điện tử cho toàn bộ 9 lớp với sự tham gia của giáo viên trung tâm và giáo viên trường Cao đẳng Nghề tỉnh. Trung tâm GDNN-GDTX Điện Biên Đông bước đầu áp dụng phần mềm quản lý trường học, thực hiện thanh toán hỗ trợ học sinh qua tài khoản ngân hàng, tuy nhiên do thiếu giáo viên Tin học nên việc vận hành các hệ thống số còn hạn chế. Bên cạnh đó, các đơn vị đã lồng ghép hiệu quả giáo dục đạo đức, kỹ năng sống, tư vấn hướng nghiệp cho học viên thông qua hoạt động ngoại khóa và tích hợp trong môn học.</w:t>
      </w:r>
    </w:p>
    <w:p w14:paraId="11891771" w14:textId="25B7C724" w:rsidR="007C09DF" w:rsidRPr="009403ED" w:rsidRDefault="007C09DF" w:rsidP="009403ED">
      <w:pPr>
        <w:pStyle w:val="NormalWeb"/>
        <w:spacing w:before="120" w:beforeAutospacing="0" w:after="120" w:afterAutospacing="0" w:line="276" w:lineRule="auto"/>
        <w:ind w:firstLine="720"/>
        <w:jc w:val="both"/>
        <w:outlineLvl w:val="2"/>
        <w:rPr>
          <w:b/>
          <w:bCs/>
          <w:i/>
          <w:iCs/>
          <w:color w:val="000000"/>
          <w:sz w:val="28"/>
          <w:szCs w:val="28"/>
          <w:lang w:val="es-BO"/>
        </w:rPr>
      </w:pPr>
      <w:r w:rsidRPr="009403ED">
        <w:rPr>
          <w:b/>
          <w:bCs/>
          <w:i/>
          <w:iCs/>
          <w:color w:val="000000"/>
          <w:sz w:val="28"/>
          <w:szCs w:val="28"/>
          <w:lang w:val="es-BO"/>
        </w:rPr>
        <w:t>4. Thuận lợi, khó khăn và nguyên nhân</w:t>
      </w:r>
    </w:p>
    <w:p w14:paraId="78C77744" w14:textId="5A6A9C55" w:rsidR="00792C40" w:rsidRPr="009403ED" w:rsidRDefault="00792C40" w:rsidP="009403ED">
      <w:pPr>
        <w:pStyle w:val="NormalWeb"/>
        <w:spacing w:before="120" w:beforeAutospacing="0" w:after="120" w:afterAutospacing="0" w:line="276" w:lineRule="auto"/>
        <w:ind w:firstLine="720"/>
        <w:jc w:val="both"/>
        <w:rPr>
          <w:color w:val="000000"/>
          <w:sz w:val="28"/>
          <w:szCs w:val="28"/>
          <w:lang w:val="es-BO"/>
        </w:rPr>
      </w:pPr>
      <w:r w:rsidRPr="009403ED">
        <w:rPr>
          <w:color w:val="000000"/>
          <w:sz w:val="28"/>
          <w:szCs w:val="28"/>
          <w:lang w:val="es-BO"/>
        </w:rPr>
        <w:t xml:space="preserve">a) Thuận lợi: Quá trình thực hiện nhiệm vụ năm 2024-2025 nhận được sự quan tâm, lãnh đạo sát sao của cấp ủy Đảng, chính quyền địa phương và Sở GD&amp;ĐT. Việc sáp nhập các trung tâm giúp tập trung nguồn lực, tạo điều kiện thuận lợi hơn trong chỉ đạo chuyên môn. Đội ngũ cán bộ, giáo viên ở các cơ sở tâm huyết, nhiệt tình và </w:t>
      </w:r>
      <w:r w:rsidRPr="009403ED">
        <w:rPr>
          <w:color w:val="000000"/>
          <w:sz w:val="28"/>
          <w:szCs w:val="28"/>
          <w:lang w:val="es-BO"/>
        </w:rPr>
        <w:lastRenderedPageBreak/>
        <w:t>có tinh thần đoàn kết cao. Kỷ cương, nề nếp trong các trung tâm được giữ vững, tập thể sư phạm đồng thuận triển khai nhiệm vụ mới sau sáp nhập. Nhận thức của người dân về giáo dục thường xuyên đã có chuyển biến tích cực, nhu cầu học chương trình GDTX cấp THPT tăng lên. Các trung tâm chủ động phối hợp với trường Cao đẳng, Trung cấp nghề để mở rộng loại hình đào tạo, đáp ứng nhu cầu học tập suốt đời tại địa phương.</w:t>
      </w:r>
    </w:p>
    <w:p w14:paraId="17376C6F" w14:textId="473CA0D6" w:rsidR="00792C40" w:rsidRPr="009403ED" w:rsidRDefault="00792C40" w:rsidP="009403ED">
      <w:pPr>
        <w:pStyle w:val="NormalWeb"/>
        <w:spacing w:before="120" w:beforeAutospacing="0" w:after="120" w:afterAutospacing="0" w:line="276" w:lineRule="auto"/>
        <w:ind w:firstLine="720"/>
        <w:jc w:val="both"/>
        <w:rPr>
          <w:color w:val="000000"/>
          <w:sz w:val="28"/>
          <w:szCs w:val="28"/>
          <w:lang w:val="es-BO"/>
        </w:rPr>
      </w:pPr>
      <w:r w:rsidRPr="009403ED">
        <w:rPr>
          <w:color w:val="000000"/>
          <w:sz w:val="28"/>
          <w:szCs w:val="28"/>
          <w:lang w:val="es-BO"/>
        </w:rPr>
        <w:t>b) Khó khăn: Chất lượng đầu vào của học viên GDTX còn thấp; phần lớn học viên phải học song song hai chương trình văn hóa THPT và trung cấp nghề nên áp lực nặng nề, nhiều em không theo kịp dẫn đến bỏ học khá cao. Việc duy trì sĩ số chưa đạt kế hoạch, đặc biệt ở các lớp 10 và 11 do tỷ lệ chuyển sang học nghề giữa chừng còn nhiều. Cơ sở vật chất, thiết bị dạy học nhìn chung lạc hậu, thiếu thốn: nhiều phòng học và thiết bị tại Trung tâm GDTX tỉnh đã sử dụng trên 20 năm, xuống cấp nghiêm trọng; các trung tâm huyện thiếu phòng chức năng và chưa được đầu tư thiết bị cho chương trình GDPT 2018. Nhân lực một số môn học còn thiếu (như Trung tâm Điện Biên Đông thiếu giáo viên Toán, Ngữ văn). Trung tâm Ngoại ngữ - Tin học gặp khó khăn trong tuyển sinh chương trình tiếng Anh IELTS, nguồn thu hạn chế, trong khi chi phí mời giáo viên chất lượng cao, giáo viên người nước ngoài rất lớn.</w:t>
      </w:r>
    </w:p>
    <w:p w14:paraId="7F705DF9" w14:textId="44479433" w:rsidR="006F63EB" w:rsidRPr="009403ED" w:rsidRDefault="00792C40" w:rsidP="009403ED">
      <w:pPr>
        <w:pStyle w:val="NormalWeb"/>
        <w:spacing w:before="120" w:beforeAutospacing="0" w:after="120" w:afterAutospacing="0" w:line="276" w:lineRule="auto"/>
        <w:ind w:firstLine="720"/>
        <w:jc w:val="both"/>
        <w:rPr>
          <w:color w:val="000000"/>
          <w:sz w:val="28"/>
          <w:szCs w:val="28"/>
          <w:lang w:val="es-BO"/>
        </w:rPr>
      </w:pPr>
      <w:r w:rsidRPr="009403ED">
        <w:rPr>
          <w:color w:val="000000"/>
          <w:sz w:val="28"/>
          <w:szCs w:val="28"/>
          <w:lang w:val="es-BO"/>
        </w:rPr>
        <w:t>c) Nguyên nhân: Công tác tuyên truyền, tư vấn tuyển sinh chưa thật sự sâu rộng, một bộ phận học viên và phụ huynh chưa có động cơ học tập đúng đắn, dễ nản lòng khi gặp khó khăn. Việc quản lý học viên học song song hai chương trình còn bất cập, dẫn đến nhiều em tập trung vào học nghề 2 năm rồi bỏ chương trình văn hóa năm cuối. Hạ tầng cơ sở xuống cấp và thiếu kinh phí đầu tư đồng bộ khiến điều kiện học tập chưa đảm bảo, đặc biệt đối với yêu cầu chương trình mới và chuyển đổi số. Nguồn ngân sách địa phương hạn hẹp, các trung tâm phụ thuộc gần như hoàn toàn vào NSNN nhưng kinh phí cấp cho sửa chữa, nâng cấp rất ít và phân tán, chưa đáp ứng nhu cầu thực tế.</w:t>
      </w:r>
    </w:p>
    <w:p w14:paraId="5354F3CA" w14:textId="54C3F1B0" w:rsidR="007C09DF" w:rsidRPr="009403ED" w:rsidRDefault="007C09DF" w:rsidP="009403ED">
      <w:pPr>
        <w:pStyle w:val="NormalWeb"/>
        <w:spacing w:before="120" w:beforeAutospacing="0" w:after="120" w:afterAutospacing="0" w:line="276" w:lineRule="auto"/>
        <w:ind w:firstLine="720"/>
        <w:jc w:val="both"/>
        <w:outlineLvl w:val="2"/>
        <w:rPr>
          <w:b/>
          <w:bCs/>
          <w:i/>
          <w:iCs/>
          <w:color w:val="000000"/>
          <w:sz w:val="28"/>
          <w:szCs w:val="28"/>
          <w:lang w:val="es-BO"/>
        </w:rPr>
      </w:pPr>
      <w:r w:rsidRPr="009403ED">
        <w:rPr>
          <w:b/>
          <w:bCs/>
          <w:i/>
          <w:iCs/>
          <w:color w:val="000000"/>
          <w:sz w:val="28"/>
          <w:szCs w:val="28"/>
          <w:lang w:val="es-BO"/>
        </w:rPr>
        <w:t>5. Đánh giá chung</w:t>
      </w:r>
    </w:p>
    <w:p w14:paraId="586EF9E6" w14:textId="4CF837F3" w:rsidR="006F63EB" w:rsidRPr="009403ED" w:rsidRDefault="00792C40" w:rsidP="009403ED">
      <w:pPr>
        <w:pStyle w:val="NormalWeb"/>
        <w:spacing w:before="120" w:beforeAutospacing="0" w:after="120" w:afterAutospacing="0" w:line="276" w:lineRule="auto"/>
        <w:ind w:firstLine="720"/>
        <w:jc w:val="both"/>
        <w:rPr>
          <w:color w:val="000000"/>
          <w:sz w:val="28"/>
          <w:szCs w:val="28"/>
          <w:lang w:val="es-BO"/>
        </w:rPr>
      </w:pPr>
      <w:r w:rsidRPr="009403ED">
        <w:rPr>
          <w:color w:val="000000"/>
          <w:sz w:val="28"/>
          <w:szCs w:val="28"/>
          <w:lang w:val="es-BO"/>
        </w:rPr>
        <w:t xml:space="preserve">Nhìn chung, trong năm 2024 và 6 tháng đầu 2025, Trung tâm GDNN-GDTX 1 đã hoàn thành cơ bản các nhiệm vụ theo kế hoạch. Mạng lưới giáo dục thường xuyên được củng cố sau sáp nhập, quy mô học viên được duy trì và có mặt tăng lên. Đội ngũ cán bộ, giáo viên nêu cao tinh thần trách nhiệm, tích cực đổi mới phương pháp giảng dạy theo hướng phát triển năng lực người học. Chất lượng giáo dục hai mặt có cải thiện, tỷ lệ học viên khá, giỏi tăng nhẹ; công tác ôn thi và tư vấn thi tốt nghiệp THPT được triển khai nghiêm túc (tổ chức thi thử, phân loại đối tượng ôn thi, phụ đạo học viên yếu). Bên cạnh đó, Trung tâm đã chủ động đẩy mạnh tuyển sinh các chương trình giáo dục thường xuyên và đào tạo nghề, thu hút được nhiều học viên vượt chỉ tiêu giao ở một số nơi. Tuy nhiên, mục tiêu duy trì sĩ số và hạn chế bỏ </w:t>
      </w:r>
      <w:r w:rsidRPr="009403ED">
        <w:rPr>
          <w:color w:val="000000"/>
          <w:sz w:val="28"/>
          <w:szCs w:val="28"/>
          <w:lang w:val="es-BO"/>
        </w:rPr>
        <w:lastRenderedPageBreak/>
        <w:t>học chưa đạt; nguyên nhân chủ yếu do đầu vào thấp và áp lực học nghề - văn hóa song song. Đây sẽ là thách thức lớn cần tập trung giải quyết trong thời gian tới.</w:t>
      </w:r>
    </w:p>
    <w:p w14:paraId="7D195D87" w14:textId="7C1BC4D4" w:rsidR="007C09DF" w:rsidRPr="009403ED" w:rsidRDefault="007C09DF" w:rsidP="009403ED">
      <w:pPr>
        <w:pStyle w:val="Heading2"/>
        <w:ind w:firstLine="720"/>
        <w:rPr>
          <w:rStyle w:val="Strong"/>
          <w:rFonts w:cs="Times New Roman"/>
          <w:b/>
          <w:bCs w:val="0"/>
          <w:szCs w:val="28"/>
          <w:lang w:val="es-BO"/>
        </w:rPr>
      </w:pPr>
      <w:r w:rsidRPr="009403ED">
        <w:rPr>
          <w:rStyle w:val="Strong"/>
          <w:rFonts w:cs="Times New Roman"/>
          <w:b/>
          <w:bCs w:val="0"/>
          <w:szCs w:val="28"/>
          <w:lang w:val="es-BO"/>
        </w:rPr>
        <w:t>II. DỰ ƯỚC TÌNH HÌNH THỰC HIỆN KẾ HOẠCH PHÁT TRIỂN GIÁO DỤC VÀ ĐÀO TẠO NĂM 2025 (NĂM HỌC 2025-2026)</w:t>
      </w:r>
    </w:p>
    <w:p w14:paraId="10610552" w14:textId="69A159EF" w:rsidR="00792C40" w:rsidRPr="00792C40" w:rsidRDefault="00792C40" w:rsidP="009403ED">
      <w:pPr>
        <w:pStyle w:val="NormalWeb"/>
        <w:spacing w:before="120" w:beforeAutospacing="0" w:after="120" w:afterAutospacing="0" w:line="276" w:lineRule="auto"/>
        <w:ind w:firstLine="720"/>
        <w:jc w:val="both"/>
        <w:rPr>
          <w:color w:val="000000"/>
          <w:spacing w:val="-6"/>
          <w:sz w:val="28"/>
          <w:szCs w:val="28"/>
          <w:lang w:val="es-BO"/>
        </w:rPr>
      </w:pPr>
      <w:r w:rsidRPr="00792C40">
        <w:rPr>
          <w:color w:val="000000"/>
          <w:spacing w:val="-6"/>
          <w:sz w:val="28"/>
          <w:szCs w:val="28"/>
          <w:lang w:val="es-BO"/>
        </w:rPr>
        <w:t>Trên cơ sở kết quả 6 tháng đầu năm 2025, Trung tâm GDNN-GDTX 1 ước thực hiện cơ bản đạt và vượt một số chỉ tiêu chủ yếu của kế hoạch năm 2025. Công tác tuyển sinh năm học 2025–2026 có nhiều tín hiệu tích cực: nhiều chỉ tiêu vượt kế hoạch</w:t>
      </w:r>
      <w:r w:rsidRPr="00671986">
        <w:rPr>
          <w:color w:val="000000"/>
          <w:spacing w:val="-6"/>
          <w:sz w:val="28"/>
          <w:szCs w:val="28"/>
          <w:lang w:val="es-BO"/>
        </w:rPr>
        <w:t>:</w:t>
      </w:r>
      <w:r w:rsidRPr="00792C40">
        <w:rPr>
          <w:color w:val="000000"/>
          <w:spacing w:val="-6"/>
          <w:sz w:val="28"/>
          <w:szCs w:val="28"/>
          <w:lang w:val="es-BO"/>
        </w:rPr>
        <w:t xml:space="preserve"> Trung tâm GDNN-GDTX huyện Điện Biên tuyển sinh vượt 130% so với chỉ tiêu UBND tỉnh và huyện giao; Trung tâm GDNN-GDTX huyện Điện Biên Đông đạt 142% kế hoạch (cuối năm học 2024</w:t>
      </w:r>
      <w:r w:rsidRPr="00671986">
        <w:rPr>
          <w:color w:val="000000"/>
          <w:spacing w:val="-6"/>
          <w:sz w:val="28"/>
          <w:szCs w:val="28"/>
          <w:lang w:val="es-BO"/>
        </w:rPr>
        <w:t>-</w:t>
      </w:r>
      <w:r w:rsidRPr="00792C40">
        <w:rPr>
          <w:color w:val="000000"/>
          <w:spacing w:val="-6"/>
          <w:sz w:val="28"/>
          <w:szCs w:val="28"/>
          <w:lang w:val="es-BO"/>
        </w:rPr>
        <w:t xml:space="preserve">2025 duy trì 64 học viên so với kế hoạch 45 học viên). Trung tâm Ngoại ngữ </w:t>
      </w:r>
      <w:r w:rsidRPr="00671986">
        <w:rPr>
          <w:color w:val="000000"/>
          <w:spacing w:val="-6"/>
          <w:sz w:val="28"/>
          <w:szCs w:val="28"/>
          <w:lang w:val="es-BO"/>
        </w:rPr>
        <w:t>-</w:t>
      </w:r>
      <w:r w:rsidRPr="00792C40">
        <w:rPr>
          <w:color w:val="000000"/>
          <w:spacing w:val="-6"/>
          <w:sz w:val="28"/>
          <w:szCs w:val="28"/>
          <w:lang w:val="es-BO"/>
        </w:rPr>
        <w:t xml:space="preserve"> Tin học cũng mở được 161 lớp (4.742 học viên) so với kế hoạch 118 lớp do Sở GD&amp;ĐT giao (tăng 43 lớp, đạt ~136% kế hoạch). Nhờ vậy, quy mô giáo dục thường xuyên năm 2025 tăng cao hơn dự kiến.</w:t>
      </w:r>
    </w:p>
    <w:p w14:paraId="7515C246" w14:textId="2D53CD53" w:rsidR="00792C40" w:rsidRPr="00792C40" w:rsidRDefault="00792C40" w:rsidP="009403ED">
      <w:pPr>
        <w:pStyle w:val="NormalWeb"/>
        <w:spacing w:before="120" w:beforeAutospacing="0" w:after="120" w:afterAutospacing="0" w:line="276" w:lineRule="auto"/>
        <w:ind w:firstLine="720"/>
        <w:jc w:val="both"/>
        <w:rPr>
          <w:color w:val="000000"/>
          <w:spacing w:val="-6"/>
          <w:sz w:val="28"/>
          <w:szCs w:val="28"/>
          <w:lang w:val="es-BO"/>
        </w:rPr>
      </w:pPr>
      <w:r w:rsidRPr="00792C40">
        <w:rPr>
          <w:color w:val="000000"/>
          <w:spacing w:val="-6"/>
          <w:sz w:val="28"/>
          <w:szCs w:val="28"/>
          <w:lang w:val="es-BO"/>
        </w:rPr>
        <w:t>Bên cạnh những chỉ tiêu vượt kế hoạch, vẫn còn một số chỉ tiêu chưa đạt hoặc khó đạt vào cuối năm 2025. Cụ thể, tỷ lệ duy trì sĩ số học viên mặc dù cải thiện nhưng dự kiến chỉ đạt khoảng 85</w:t>
      </w:r>
      <w:r w:rsidRPr="00671986">
        <w:rPr>
          <w:color w:val="000000"/>
          <w:spacing w:val="-6"/>
          <w:sz w:val="28"/>
          <w:szCs w:val="28"/>
          <w:lang w:val="es-BO"/>
        </w:rPr>
        <w:t>-</w:t>
      </w:r>
      <w:r w:rsidRPr="00792C40">
        <w:rPr>
          <w:color w:val="000000"/>
          <w:spacing w:val="-6"/>
          <w:sz w:val="28"/>
          <w:szCs w:val="28"/>
          <w:lang w:val="es-BO"/>
        </w:rPr>
        <w:t>90%, chưa đạt mục tiêu 95%. Tỷ lệ học viên bỏ học vẫn ở mức cao (trên 10% ở một số lớp 10, 11), ảnh hưởng đến kế hoạch nâng quy mô. Ngoài ra, chỉ tiêu đào tạo nghề ngắn hạn có khả năng không hoàn thành: Ví dụ, tại Điện Biên Đông, kế hoạch năm 2025 đào tạo 800 học viên nghề nhưng 6 tháng đầu năm mới đào tạo được 175 học viên (đạt 21,9%) do thiếu kinh phí hỗ trợ. Nguyên nhân chính của các chỉ tiêu chưa đạt là những khó khăn khách quan đã nêu (chất lượng đầu vào, điều kiện thiết bị, kinh phí). Trung tâm đã và đang tích cực đề ra các giải pháp khắc phục trong thời gian còn lại của năm 2025, như tăng cường tuyên truyền tuyển sinh vào lớp 10 (đặc biệt ở vùng sâu, vùng xa) và kiến nghị bổ sung nguồn lực cho đào tạo nghề. Dự kiến đến hết năm 2025, Trung tâm GDNN-GDTX 1 cơ bản hoàn thành nhiệm vụ năm 2025, góp phần vào kết quả chung của ngành giáo dục và đào tạo tỉnh.</w:t>
      </w:r>
    </w:p>
    <w:p w14:paraId="00F1C309" w14:textId="1FC0070E" w:rsidR="007C09DF" w:rsidRPr="009403ED" w:rsidRDefault="007C09DF" w:rsidP="009403ED">
      <w:pPr>
        <w:pStyle w:val="Heading1"/>
        <w:ind w:firstLine="720"/>
        <w:jc w:val="both"/>
        <w:rPr>
          <w:rStyle w:val="Strong"/>
          <w:rFonts w:cs="Times New Roman"/>
          <w:b/>
          <w:bCs w:val="0"/>
          <w:szCs w:val="28"/>
          <w:lang w:val="es-BO"/>
        </w:rPr>
      </w:pPr>
      <w:r w:rsidRPr="009403ED">
        <w:rPr>
          <w:rStyle w:val="Strong"/>
          <w:rFonts w:cs="Times New Roman"/>
          <w:b/>
          <w:bCs w:val="0"/>
          <w:szCs w:val="28"/>
          <w:lang w:val="es-BO"/>
        </w:rPr>
        <w:t>B. KẾT QUẢ THỰC HIỆN KẾ HOẠCH GIAI ĐOẠN 2021–2025</w:t>
      </w:r>
    </w:p>
    <w:p w14:paraId="3EC351D1" w14:textId="77777777" w:rsidR="007C09DF" w:rsidRPr="009403ED" w:rsidRDefault="007C09DF" w:rsidP="009403ED">
      <w:pPr>
        <w:pStyle w:val="Heading2"/>
        <w:ind w:firstLine="720"/>
        <w:rPr>
          <w:rStyle w:val="Strong"/>
          <w:rFonts w:cs="Times New Roman"/>
          <w:b/>
          <w:bCs w:val="0"/>
          <w:szCs w:val="28"/>
          <w:lang w:val="es-BO"/>
        </w:rPr>
      </w:pPr>
      <w:r w:rsidRPr="009403ED">
        <w:rPr>
          <w:rStyle w:val="Strong"/>
          <w:rFonts w:cs="Times New Roman"/>
          <w:b/>
          <w:bCs w:val="0"/>
          <w:szCs w:val="28"/>
          <w:lang w:val="es-BO"/>
        </w:rPr>
        <w:t>I. Công tác lãnh đạo chỉ đạo</w:t>
      </w:r>
    </w:p>
    <w:p w14:paraId="3F8A4556" w14:textId="351CBFA6" w:rsidR="006F63EB" w:rsidRPr="009403ED" w:rsidRDefault="00792C40" w:rsidP="009403ED">
      <w:pPr>
        <w:spacing w:before="120" w:after="120"/>
        <w:ind w:firstLine="720"/>
        <w:jc w:val="both"/>
        <w:rPr>
          <w:rFonts w:ascii="Times New Roman" w:hAnsi="Times New Roman" w:cs="Times New Roman"/>
          <w:color w:val="000000"/>
          <w:sz w:val="28"/>
          <w:szCs w:val="28"/>
          <w:lang w:val="es-BO"/>
        </w:rPr>
      </w:pPr>
      <w:r w:rsidRPr="009403ED">
        <w:rPr>
          <w:rFonts w:ascii="Times New Roman" w:hAnsi="Times New Roman" w:cs="Times New Roman"/>
          <w:color w:val="000000"/>
          <w:sz w:val="28"/>
          <w:szCs w:val="28"/>
          <w:lang w:val="es-BO"/>
        </w:rPr>
        <w:t xml:space="preserve">Trong giai đoạn 2021-2025, các Trung tâm GDTX, GDNN-GDTX (trước khi sáp nhập thành Trung tâm GDNN-GDTX 1) luôn nhận được sự lãnh đạo, chỉ đạo chặt chẽ của Sở Giáo dục và Đào tạo và UBND các cấp. Hàng năm, căn cứ các văn bản hướng dẫn của Bộ GD&amp;ĐT, UBND tỉnh và tình hình thực tế, các trung tâm đã xây dựng kế hoạch năm học với phương hướng, nhiệm vụ cụ thể cho từng năm. Công tác phân công nhiệm vụ được thực hiện rõ ràng đến từng phòng ban, bộ phận và cá nhân, kèm theo cơ chế kiểm tra, giám sát thường xuyên để đảm bảo hoàn thành mục tiêu đề ra. Nhờ sự chỉ đạo sát sao và tinh thần trách nhiệm của đội ngũ, các đơn vị đã duy trì hiệu quả hoạt động giáo dục thường xuyên trong điều kiện có nhiều thay đổi </w:t>
      </w:r>
      <w:r w:rsidRPr="009403ED">
        <w:rPr>
          <w:rFonts w:ascii="Times New Roman" w:hAnsi="Times New Roman" w:cs="Times New Roman"/>
          <w:color w:val="000000"/>
          <w:sz w:val="28"/>
          <w:szCs w:val="28"/>
          <w:lang w:val="es-BO"/>
        </w:rPr>
        <w:lastRenderedPageBreak/>
        <w:t>(sáp nhập tổ chức, chuyển giao quản lý về Sở GD&amp;ĐT). Đảng ủy, Ban Giám đốc Trung tâm luôn quán triệt sâu sắc các Chỉ thị, Nghị quyết của Đảng và Nhà nước, đảm bảo mọi cán bộ, giáo viên thống nhất nhận thức và hành động theo mục tiêu chung. Quy chế dân chủ ở cơ sở được thực hiện tốt, tạo sự đồng thuận, đoàn kết nội bộ. Đây là nền tảng giúp các Trung tâm hoàn thành nhiệm vụ giai đoạn 5 năm.</w:t>
      </w:r>
    </w:p>
    <w:p w14:paraId="6626917F" w14:textId="069AC90D" w:rsidR="007C09DF" w:rsidRPr="009403ED" w:rsidRDefault="007C09DF" w:rsidP="009403ED">
      <w:pPr>
        <w:pStyle w:val="Heading2"/>
        <w:ind w:firstLine="720"/>
        <w:rPr>
          <w:rStyle w:val="Strong"/>
          <w:rFonts w:cs="Times New Roman"/>
          <w:b/>
          <w:bCs w:val="0"/>
          <w:szCs w:val="28"/>
          <w:lang w:val="es-BO"/>
        </w:rPr>
      </w:pPr>
      <w:r w:rsidRPr="009403ED">
        <w:rPr>
          <w:rStyle w:val="Strong"/>
          <w:rFonts w:cs="Times New Roman"/>
          <w:b/>
          <w:bCs w:val="0"/>
          <w:szCs w:val="28"/>
          <w:lang w:val="es-BO"/>
        </w:rPr>
        <w:t>II. Tình hình, kết quả thực hiện so với chỉ tiêu chủ yếu Kế hoạch giai đoạn 2021-2025 của UBND tỉnh (dự ước)</w:t>
      </w:r>
    </w:p>
    <w:p w14:paraId="1A10E588" w14:textId="0FE03DDC" w:rsidR="000B63B9" w:rsidRPr="000B63B9" w:rsidRDefault="000B63B9" w:rsidP="009403ED">
      <w:pPr>
        <w:spacing w:before="120" w:after="120"/>
        <w:ind w:firstLine="720"/>
        <w:jc w:val="both"/>
        <w:rPr>
          <w:rFonts w:ascii="Times New Roman" w:hAnsi="Times New Roman" w:cs="Times New Roman"/>
          <w:color w:val="000000"/>
          <w:sz w:val="28"/>
          <w:szCs w:val="28"/>
          <w:lang w:val="es-BO"/>
        </w:rPr>
      </w:pPr>
      <w:r w:rsidRPr="009403ED">
        <w:rPr>
          <w:rFonts w:ascii="Times New Roman" w:hAnsi="Times New Roman" w:cs="Times New Roman"/>
          <w:b/>
          <w:bCs/>
          <w:color w:val="000000"/>
          <w:sz w:val="28"/>
          <w:szCs w:val="28"/>
          <w:lang w:val="es-BO"/>
        </w:rPr>
        <w:t>1.</w:t>
      </w:r>
      <w:r w:rsidRPr="000B63B9">
        <w:rPr>
          <w:rFonts w:ascii="Times New Roman" w:hAnsi="Times New Roman" w:cs="Times New Roman"/>
          <w:color w:val="000000"/>
          <w:sz w:val="28"/>
          <w:szCs w:val="28"/>
          <w:lang w:val="es-BO"/>
        </w:rPr>
        <w:t xml:space="preserve"> </w:t>
      </w:r>
      <w:r w:rsidRPr="000B63B9">
        <w:rPr>
          <w:rFonts w:ascii="Times New Roman" w:hAnsi="Times New Roman" w:cs="Times New Roman"/>
          <w:b/>
          <w:bCs/>
          <w:color w:val="000000"/>
          <w:sz w:val="28"/>
          <w:szCs w:val="28"/>
          <w:lang w:val="es-BO"/>
        </w:rPr>
        <w:t>Quy mô lớp học, học viên:</w:t>
      </w:r>
      <w:r w:rsidRPr="000B63B9">
        <w:rPr>
          <w:rFonts w:ascii="Times New Roman" w:hAnsi="Times New Roman" w:cs="Times New Roman"/>
          <w:color w:val="000000"/>
          <w:sz w:val="28"/>
          <w:szCs w:val="28"/>
          <w:lang w:val="es-BO"/>
        </w:rPr>
        <w:t xml:space="preserve"> Mạng lưới giáo dục thường xuyên cấp THPT trên địa bàn tỉnh được duy trì ổn định trong 5 năm qua. Tại Trung tâm GDTX tỉnh, quy mô học viên có xu hướng giảm nhẹ: từ 12 lớp với 457 học viên năm học 2021–2022, xuống 10 lớp với 393 học viên năm 2023–2024, và tăng lại 404 học viên năm 2024–2025. Việc giảm quy mô giai đoạn đầu phần nào do phân luồng học sinh sau THCS hiệu quả hơn (nhiều học sinh vào học nghề), tuy nhiên từ năm 2023 trở đi nhu cầu học GDTX tăng trở lại nhờ nhận thức xã hội cải thiện. Tại các huyện, chương trình GDTX cấp THPT được mở rộng thêm: Trung tâm GDNN-GDTX huyện Điện Biên bắt đầu tuyển sinh từ năm 2022 và đến 2025 đã có 9 lớp ~ 391 học viên; Trung tâm GDNN-GDTX Điện Biên Đông mở từ năm 2023 và đến 2025 có 3 lớp ~ 64 học viên. Như vậy, đến 2025, tổng quy mô GDTX cấp THPT toàn tỉnh (gộp các trung tâm) khoảng 22 lớp với 859 học viên, đóng góp tích cực vào mục tiêu phổ cập giáo dục bậc trung học của tỉnh. Bên cạnh chương trình văn hóa THPT, các trung tâm còn triển khai nhiều chương trình giáo dục thường xuyên khác. Trong 5 năm, Trung tâm GDTX tỉnh đã phối hợp với các trường Đại học, Cao đẳng mở 29 lớp liên kết đào tạo (đại học vừa học vừa làm, trung cấp chuyên nghiệp, v.v.) cho 1.641 học viên trên địa bàn. Công tác bồi dưỡng ngắn hạn cũng đạt kết quả nổi bật: đã tổ chức 35 lớp bồi dưỡng tiếng dân tộc (tiếng Mông) cho 2.039 học viên và 8 lớp bồi dưỡng kiến thức liên môn (Lịch sử – Địa lý, Khoa học tự nhiên) cho 387 học viên là giáo viên phổ thông – góp phần nâng cao chất lượng đội ngũ giáo viên phổ thông đáp ứng chương trình giáo dục mới. Đặc biệt, trong khuôn khổ Đề án hợp tác đào tạo với các tỉnh Bắc Lào, từ năm 2022 đến 2025 Trung tâm GDTX tỉnh đã tiếp nhận và đào tạo tiếng Việt cho tổng cộng 141 lưu học sinh Lào (52 LHS năm 2022–2023; 37 LHS năm 2023–2024; 52 LHS năm 2024–2025), tất cả đều đủ điều kiện tiếp tục học lên các trường chuyên nghiệp Việt Nam sau khóa học. Ngoài ra, Trung tâm Ngoại ngữ – Tin học giai đoạn 2021–2025 đã không ngừng phát triển về quy mô: mở rộng đào tạo ngoại ngữ mới (tiếng Nhật, tiếng Hàn từ năm 2023), đáp ứng nhu cầu học ngoại ngữ phục vụ xuất khẩu lao động, du học của người dân. Số lớp ngoại ngữ – tin học tăng mạnh, riêng năm học 2024–2025 đã mở 161 lớp như nêu trên. Có thể khẳng định, mạng lưới giáo dục thường xuyên giai đoạn 2021–2025 của tỉnh Điện Biên đã phát triển về quy </w:t>
      </w:r>
      <w:r w:rsidRPr="000B63B9">
        <w:rPr>
          <w:rFonts w:ascii="Times New Roman" w:hAnsi="Times New Roman" w:cs="Times New Roman"/>
          <w:color w:val="000000"/>
          <w:sz w:val="28"/>
          <w:szCs w:val="28"/>
          <w:lang w:val="es-BO"/>
        </w:rPr>
        <w:lastRenderedPageBreak/>
        <w:t>mô lẫn loại hình, tạo cơ hội học tập đa dạng cho người học mọi lứa tuổi, góp phần xây dựng xã hội học tập.</w:t>
      </w:r>
    </w:p>
    <w:p w14:paraId="15425791" w14:textId="5E7D7B80" w:rsidR="000B63B9" w:rsidRPr="000B63B9" w:rsidRDefault="000B63B9" w:rsidP="009403ED">
      <w:pPr>
        <w:spacing w:before="120" w:after="120"/>
        <w:ind w:firstLine="720"/>
        <w:jc w:val="both"/>
        <w:rPr>
          <w:rFonts w:ascii="Times New Roman" w:hAnsi="Times New Roman" w:cs="Times New Roman"/>
          <w:color w:val="000000"/>
          <w:sz w:val="28"/>
          <w:szCs w:val="28"/>
          <w:lang w:val="es-BO"/>
        </w:rPr>
      </w:pPr>
      <w:r w:rsidRPr="009403ED">
        <w:rPr>
          <w:rFonts w:ascii="Times New Roman" w:hAnsi="Times New Roman" w:cs="Times New Roman"/>
          <w:b/>
          <w:bCs/>
          <w:color w:val="000000"/>
          <w:sz w:val="28"/>
          <w:szCs w:val="28"/>
          <w:lang w:val="es-BO"/>
        </w:rPr>
        <w:t>2.</w:t>
      </w:r>
      <w:r w:rsidRPr="000B63B9">
        <w:rPr>
          <w:rFonts w:ascii="Times New Roman" w:hAnsi="Times New Roman" w:cs="Times New Roman"/>
          <w:color w:val="000000"/>
          <w:sz w:val="28"/>
          <w:szCs w:val="28"/>
          <w:lang w:val="es-BO"/>
        </w:rPr>
        <w:t xml:space="preserve"> </w:t>
      </w:r>
      <w:r w:rsidRPr="000B63B9">
        <w:rPr>
          <w:rFonts w:ascii="Times New Roman" w:hAnsi="Times New Roman" w:cs="Times New Roman"/>
          <w:b/>
          <w:bCs/>
          <w:color w:val="000000"/>
          <w:sz w:val="28"/>
          <w:szCs w:val="28"/>
          <w:lang w:val="es-BO"/>
        </w:rPr>
        <w:t>Đội ngũ giáo viên, cán bộ quản lý:</w:t>
      </w:r>
      <w:r w:rsidRPr="000B63B9">
        <w:rPr>
          <w:rFonts w:ascii="Times New Roman" w:hAnsi="Times New Roman" w:cs="Times New Roman"/>
          <w:color w:val="000000"/>
          <w:sz w:val="28"/>
          <w:szCs w:val="28"/>
          <w:lang w:val="es-BO"/>
        </w:rPr>
        <w:t xml:space="preserve"> Tính đến </w:t>
      </w:r>
      <w:r w:rsidRPr="00671986">
        <w:rPr>
          <w:rFonts w:ascii="Times New Roman" w:hAnsi="Times New Roman" w:cs="Times New Roman"/>
          <w:color w:val="000000"/>
          <w:sz w:val="28"/>
          <w:szCs w:val="28"/>
          <w:lang w:val="es-BO"/>
        </w:rPr>
        <w:t>01/7</w:t>
      </w:r>
      <w:r w:rsidRPr="000B63B9">
        <w:rPr>
          <w:rFonts w:ascii="Times New Roman" w:hAnsi="Times New Roman" w:cs="Times New Roman"/>
          <w:color w:val="000000"/>
          <w:sz w:val="28"/>
          <w:szCs w:val="28"/>
          <w:lang w:val="es-BO"/>
        </w:rPr>
        <w:t xml:space="preserve">/2025, tổng số cán bộ, giáo viên, nhân viên của Trung tâm GDNN-GDTX 1 (sau sáp nhập) là </w:t>
      </w:r>
      <w:r w:rsidRPr="00671986">
        <w:rPr>
          <w:rFonts w:ascii="Times New Roman" w:hAnsi="Times New Roman" w:cs="Times New Roman"/>
          <w:color w:val="000000"/>
          <w:sz w:val="28"/>
          <w:szCs w:val="28"/>
          <w:lang w:val="es-BO"/>
        </w:rPr>
        <w:t>79</w:t>
      </w:r>
      <w:r w:rsidRPr="000B63B9">
        <w:rPr>
          <w:rFonts w:ascii="Times New Roman" w:hAnsi="Times New Roman" w:cs="Times New Roman"/>
          <w:color w:val="000000"/>
          <w:sz w:val="28"/>
          <w:szCs w:val="28"/>
          <w:lang w:val="es-BO"/>
        </w:rPr>
        <w:t xml:space="preserve"> </w:t>
      </w:r>
      <w:r w:rsidRPr="00671986">
        <w:rPr>
          <w:rFonts w:ascii="Times New Roman" w:hAnsi="Times New Roman" w:cs="Times New Roman"/>
          <w:color w:val="000000"/>
          <w:sz w:val="28"/>
          <w:szCs w:val="28"/>
          <w:lang w:val="es-BO"/>
        </w:rPr>
        <w:t xml:space="preserve">viên chức </w:t>
      </w:r>
      <w:r w:rsidRPr="00671986">
        <w:rPr>
          <w:rFonts w:ascii="Times New Roman" w:hAnsi="Times New Roman" w:cs="Times New Roman"/>
          <w:i/>
          <w:iCs/>
          <w:color w:val="000000"/>
          <w:sz w:val="28"/>
          <w:szCs w:val="28"/>
          <w:lang w:val="es-BO"/>
        </w:rPr>
        <w:t>(không kể 05 hợp đồng nhân viên bảo vệ hiện có: cơ sở Trung tâm 02 bảo vệ, cơ sở phường Mường Thanh 02 bảo vệ, cơ sở xã Na Son 01 bảo vệ)</w:t>
      </w:r>
      <w:r w:rsidRPr="000B63B9">
        <w:rPr>
          <w:rFonts w:ascii="Times New Roman" w:hAnsi="Times New Roman" w:cs="Times New Roman"/>
          <w:color w:val="000000"/>
          <w:sz w:val="28"/>
          <w:szCs w:val="28"/>
          <w:lang w:val="es-BO"/>
        </w:rPr>
        <w:t xml:space="preserve">. Mặc dù nhân sự phân tán tại các đơn vị cũ, nhưng mặt bằng trình độ chuyên môn của đội ngũ khá cao: toàn Trung tâm có 25 thạc sĩ (riêng Trung tâm tỉnh 14 thạc sĩ; Trung tâm huyện Điện Biên 6 thạc sĩ; Trung tâm </w:t>
      </w:r>
      <w:r w:rsidRPr="00671986">
        <w:rPr>
          <w:rFonts w:ascii="Times New Roman" w:hAnsi="Times New Roman" w:cs="Times New Roman"/>
          <w:color w:val="000000"/>
          <w:sz w:val="28"/>
          <w:szCs w:val="28"/>
          <w:lang w:val="es-BO"/>
        </w:rPr>
        <w:t>Ngoại ngữ - Tin học</w:t>
      </w:r>
      <w:r w:rsidRPr="000B63B9">
        <w:rPr>
          <w:rFonts w:ascii="Times New Roman" w:hAnsi="Times New Roman" w:cs="Times New Roman"/>
          <w:color w:val="000000"/>
          <w:sz w:val="28"/>
          <w:szCs w:val="28"/>
          <w:lang w:val="es-BO"/>
        </w:rPr>
        <w:t xml:space="preserve"> 5 thạc sĩ), còn lại đều có trình độ đại học. 100% giáo viên đạt chuẩn nghề nghiệp theo quy định. Trong 5 năm, đội ngũ nhà giáo thường xuyên được bồi dưỡng nâng cao năng lực, cập nhật chương trình GDPT 2018. Nhiều giáo viên đã trưởng thành về chuyên môn, đạt thành tích cao: có 02 giáo viên đạt danh hiệu Giáo viên dạy giỏi cấp tỉnh năm 2024 (thuộc Trung tâm GDTX tỉnh). Bên cạnh đó, do đặc thù GDTX, một số trung tâm phải hợp đồng thỉnh giảng giáo viên từ trường khác (ví dụ Trung tâm Điện Biên Đông mời giáo viên Toán, Văn từ các trường THPT trên địa bàn). Đây vừa là giải pháp tạm thời khắc phục thiếu giáo viên, vừa là hạn chế vì giáo viên thỉnh giảng chưa ổn định lâu dài. Nhìn chung, giai đoạn 2021–2025, các trung tâm đã ổn định được đội ngũ, đảm bảo đủ về số lượng và nâng cao chất lượng, đáp ứng yêu cầu triển khai nhiệm vụ giáo dục thường xuyên.</w:t>
      </w:r>
    </w:p>
    <w:p w14:paraId="2D262241" w14:textId="53C20B8D" w:rsidR="000B63B9" w:rsidRPr="000B63B9" w:rsidRDefault="000B63B9" w:rsidP="009403ED">
      <w:pPr>
        <w:spacing w:before="120" w:after="120"/>
        <w:ind w:firstLine="720"/>
        <w:jc w:val="both"/>
        <w:rPr>
          <w:rFonts w:ascii="Times New Roman" w:hAnsi="Times New Roman" w:cs="Times New Roman"/>
          <w:color w:val="000000"/>
          <w:sz w:val="28"/>
          <w:szCs w:val="28"/>
          <w:lang w:val="es-BO"/>
        </w:rPr>
      </w:pPr>
      <w:r w:rsidRPr="009403ED">
        <w:rPr>
          <w:rFonts w:ascii="Times New Roman" w:hAnsi="Times New Roman" w:cs="Times New Roman"/>
          <w:b/>
          <w:bCs/>
          <w:color w:val="000000"/>
          <w:sz w:val="28"/>
          <w:szCs w:val="28"/>
          <w:lang w:val="es-BO"/>
        </w:rPr>
        <w:t>3.</w:t>
      </w:r>
      <w:r w:rsidRPr="000B63B9">
        <w:rPr>
          <w:rFonts w:ascii="Times New Roman" w:hAnsi="Times New Roman" w:cs="Times New Roman"/>
          <w:color w:val="000000"/>
          <w:sz w:val="28"/>
          <w:szCs w:val="28"/>
          <w:lang w:val="es-BO"/>
        </w:rPr>
        <w:t xml:space="preserve"> </w:t>
      </w:r>
      <w:r w:rsidRPr="000B63B9">
        <w:rPr>
          <w:rFonts w:ascii="Times New Roman" w:hAnsi="Times New Roman" w:cs="Times New Roman"/>
          <w:b/>
          <w:bCs/>
          <w:color w:val="000000"/>
          <w:sz w:val="28"/>
          <w:szCs w:val="28"/>
          <w:lang w:val="es-BO"/>
        </w:rPr>
        <w:t>Cơ sở vật chất:</w:t>
      </w:r>
      <w:r w:rsidRPr="000B63B9">
        <w:rPr>
          <w:rFonts w:ascii="Times New Roman" w:hAnsi="Times New Roman" w:cs="Times New Roman"/>
          <w:color w:val="000000"/>
          <w:sz w:val="28"/>
          <w:szCs w:val="28"/>
          <w:lang w:val="es-BO"/>
        </w:rPr>
        <w:t xml:space="preserve"> Cơ sở vật chất phục vụ giáo dục thường xuyên của tỉnh còn nhiều khó khăn, nhưng đã có cải thiện nhất định trong giai đoạn 2021–2025. Trung tâm GDTX tỉnh hiện có một cơ ngơi tương đối đầy đủ gồm 17 phòng học văn hóa, 02 phòng máy tính, thư viện, hội trường, 37 phòng nội trú học sinh, 10 phòng ở giáo viên cùng các công trình phụ trợ (nhà bếp, phòng ăn, điện nước, vệ sinh). Tuy nhiên, cơ sở này được xây dựng từ 2001, nhiều hạng mục xuống cấp sau hơn 20 năm sử dụng. Các trung tâm cấp huyện có quy mô cơ sở vật chất nhỏ hơn nhiều: Trung tâm Điện Biên Đông có dãy phòng học đảm bảo dạy chương trình mới nhưng chưa có phòng thí nghiệm, phòng học bộ môn; Trung tâm</w:t>
      </w:r>
      <w:r w:rsidR="004013F0">
        <w:rPr>
          <w:rFonts w:ascii="Times New Roman" w:hAnsi="Times New Roman" w:cs="Times New Roman"/>
          <w:color w:val="000000"/>
          <w:sz w:val="28"/>
          <w:szCs w:val="28"/>
          <w:lang w:val="es-BO"/>
        </w:rPr>
        <w:t xml:space="preserve"> huyện</w:t>
      </w:r>
      <w:r w:rsidRPr="000B63B9">
        <w:rPr>
          <w:rFonts w:ascii="Times New Roman" w:hAnsi="Times New Roman" w:cs="Times New Roman"/>
          <w:color w:val="000000"/>
          <w:sz w:val="28"/>
          <w:szCs w:val="28"/>
          <w:lang w:val="es-BO"/>
        </w:rPr>
        <w:t xml:space="preserve"> Điện Biên sau khi chuyển địa điểm về cơ sở cũ của Trường Chính trị huyện thì diện tích, số phòng học bị thu hẹp (chỉ còn đủ 9 lớp học văn hóa</w:t>
      </w:r>
      <w:r w:rsidRPr="00671986">
        <w:rPr>
          <w:rFonts w:ascii="Times New Roman" w:hAnsi="Times New Roman" w:cs="Times New Roman"/>
          <w:color w:val="000000"/>
          <w:sz w:val="28"/>
          <w:szCs w:val="28"/>
          <w:lang w:val="es-BO"/>
        </w:rPr>
        <w:t>, số phòng học chỉ có 02 phòng</w:t>
      </w:r>
      <w:r w:rsidRPr="000B63B9">
        <w:rPr>
          <w:rFonts w:ascii="Times New Roman" w:hAnsi="Times New Roman" w:cs="Times New Roman"/>
          <w:color w:val="000000"/>
          <w:sz w:val="28"/>
          <w:szCs w:val="28"/>
          <w:lang w:val="es-BO"/>
        </w:rPr>
        <w:t xml:space="preserve">) và không có ký túc xá, ảnh hưởng tới việc thu hút học viên vùng xa. Trung tâm Ngoại ngữ – Tin học không còn trụ sở riêng từ 2023 nên phải mượn phòng học tại </w:t>
      </w:r>
      <w:r w:rsidRPr="00671986">
        <w:rPr>
          <w:rFonts w:ascii="Times New Roman" w:hAnsi="Times New Roman" w:cs="Times New Roman"/>
          <w:color w:val="000000"/>
          <w:sz w:val="28"/>
          <w:szCs w:val="28"/>
          <w:lang w:val="es-BO"/>
        </w:rPr>
        <w:t>đơn vị khác</w:t>
      </w:r>
      <w:r w:rsidRPr="000B63B9">
        <w:rPr>
          <w:rFonts w:ascii="Times New Roman" w:hAnsi="Times New Roman" w:cs="Times New Roman"/>
          <w:color w:val="000000"/>
          <w:sz w:val="28"/>
          <w:szCs w:val="28"/>
          <w:lang w:val="es-BO"/>
        </w:rPr>
        <w:t xml:space="preserve">, gây khó khăn trong tổ chức lớp. Về trang thiết bị dạy học, suốt 5 năm qua hầu như không có dự án đầu tư lớn nào cho các trung tâm. Thiết bị hiện có phần lớn là từ trước năm 2010, nhiều máy tính, máy chiếu đã hỏng hoặc lỗi thời, thiết bị thực hành thí nghiệm thiếu và không còn chính xác. Đặc biệt, thiết bị theo danh mục tối thiểu phục vụ chương trình GDPT 2018 cho khối 10, 11 chưa được cấp trong giai đoạn này, khiến việc dạy các môn Khoa học tự nhiên, Tin học gặp không ít hạn chế. Tóm lại, so với </w:t>
      </w:r>
      <w:r w:rsidRPr="000B63B9">
        <w:rPr>
          <w:rFonts w:ascii="Times New Roman" w:hAnsi="Times New Roman" w:cs="Times New Roman"/>
          <w:color w:val="000000"/>
          <w:sz w:val="28"/>
          <w:szCs w:val="28"/>
          <w:lang w:val="es-BO"/>
        </w:rPr>
        <w:lastRenderedPageBreak/>
        <w:t>mục tiêu kế hoạch 2021</w:t>
      </w:r>
      <w:r w:rsidRPr="00671986">
        <w:rPr>
          <w:rFonts w:ascii="Times New Roman" w:hAnsi="Times New Roman" w:cs="Times New Roman"/>
          <w:color w:val="000000"/>
          <w:sz w:val="28"/>
          <w:szCs w:val="28"/>
          <w:lang w:val="es-BO"/>
        </w:rPr>
        <w:t>-</w:t>
      </w:r>
      <w:r w:rsidRPr="000B63B9">
        <w:rPr>
          <w:rFonts w:ascii="Times New Roman" w:hAnsi="Times New Roman" w:cs="Times New Roman"/>
          <w:color w:val="000000"/>
          <w:sz w:val="28"/>
          <w:szCs w:val="28"/>
          <w:lang w:val="es-BO"/>
        </w:rPr>
        <w:t>2025, cơ sở vật chất ngành học GDTX còn chưa đạt yêu cầu. Đây là điểm nghẽn cần được đầu tư tháo gỡ trong giai đoạn tới.</w:t>
      </w:r>
    </w:p>
    <w:p w14:paraId="2AFCE384" w14:textId="31D7E0FC" w:rsidR="000B63B9" w:rsidRPr="000B63B9" w:rsidRDefault="000B63B9" w:rsidP="009403ED">
      <w:pPr>
        <w:spacing w:before="120" w:after="120"/>
        <w:ind w:firstLine="720"/>
        <w:jc w:val="both"/>
        <w:rPr>
          <w:rFonts w:ascii="Times New Roman" w:hAnsi="Times New Roman" w:cs="Times New Roman"/>
          <w:color w:val="000000"/>
          <w:sz w:val="28"/>
          <w:szCs w:val="28"/>
          <w:lang w:val="es-BO"/>
        </w:rPr>
      </w:pPr>
      <w:r w:rsidRPr="009403ED">
        <w:rPr>
          <w:rFonts w:ascii="Times New Roman" w:hAnsi="Times New Roman" w:cs="Times New Roman"/>
          <w:b/>
          <w:bCs/>
          <w:color w:val="000000"/>
          <w:sz w:val="28"/>
          <w:szCs w:val="28"/>
          <w:lang w:val="es-BO"/>
        </w:rPr>
        <w:t>4.</w:t>
      </w:r>
      <w:r w:rsidRPr="000B63B9">
        <w:rPr>
          <w:rFonts w:ascii="Times New Roman" w:hAnsi="Times New Roman" w:cs="Times New Roman"/>
          <w:color w:val="000000"/>
          <w:sz w:val="28"/>
          <w:szCs w:val="28"/>
          <w:lang w:val="es-BO"/>
        </w:rPr>
        <w:t xml:space="preserve"> </w:t>
      </w:r>
      <w:r w:rsidRPr="000B63B9">
        <w:rPr>
          <w:rFonts w:ascii="Times New Roman" w:hAnsi="Times New Roman" w:cs="Times New Roman"/>
          <w:b/>
          <w:bCs/>
          <w:color w:val="000000"/>
          <w:sz w:val="28"/>
          <w:szCs w:val="28"/>
          <w:lang w:val="es-BO"/>
        </w:rPr>
        <w:t>Thành tích nổi bật:</w:t>
      </w:r>
      <w:r w:rsidRPr="000B63B9">
        <w:rPr>
          <w:rFonts w:ascii="Times New Roman" w:hAnsi="Times New Roman" w:cs="Times New Roman"/>
          <w:color w:val="000000"/>
          <w:sz w:val="28"/>
          <w:szCs w:val="28"/>
          <w:lang w:val="es-BO"/>
        </w:rPr>
        <w:t xml:space="preserve"> Dù còn khó khăn, các đơn vị GDTX đã đạt được một số kết quả đáng ghi nhận trong 5 năm. Tỷ lệ học viên GDTX tốt nghiệp THPT hàng năm duy trì ổn định (trên 90%, nhiều học viên giáo dục thường xuyên đỗ đại học, cao đẳng). Đội ngũ giáo viên gặt hái thành tích trong hội thi như đã nêu (2 giáo viên giỏi cấp tỉnh). Công tác hợp tác quốc tế đào tạo LHS Lào thực hiện theo đúng </w:t>
      </w:r>
      <w:r w:rsidRPr="00671986">
        <w:rPr>
          <w:rFonts w:ascii="Times New Roman" w:hAnsi="Times New Roman" w:cs="Times New Roman"/>
          <w:color w:val="000000"/>
          <w:sz w:val="28"/>
          <w:szCs w:val="28"/>
          <w:lang w:val="es-BO"/>
        </w:rPr>
        <w:t>Đ</w:t>
      </w:r>
      <w:r w:rsidRPr="000B63B9">
        <w:rPr>
          <w:rFonts w:ascii="Times New Roman" w:hAnsi="Times New Roman" w:cs="Times New Roman"/>
          <w:color w:val="000000"/>
          <w:sz w:val="28"/>
          <w:szCs w:val="28"/>
          <w:lang w:val="es-BO"/>
        </w:rPr>
        <w:t xml:space="preserve">ề án, góp phần thắt chặt quan hệ hữu nghị </w:t>
      </w:r>
      <w:r w:rsidRPr="00671986">
        <w:rPr>
          <w:rFonts w:ascii="Times New Roman" w:hAnsi="Times New Roman" w:cs="Times New Roman"/>
          <w:color w:val="000000"/>
          <w:sz w:val="28"/>
          <w:szCs w:val="28"/>
          <w:lang w:val="es-BO"/>
        </w:rPr>
        <w:t>của tỉnh nói riêng và của quốc gia nói chung</w:t>
      </w:r>
      <w:r w:rsidRPr="000B63B9">
        <w:rPr>
          <w:rFonts w:ascii="Times New Roman" w:hAnsi="Times New Roman" w:cs="Times New Roman"/>
          <w:color w:val="000000"/>
          <w:sz w:val="28"/>
          <w:szCs w:val="28"/>
          <w:lang w:val="es-BO"/>
        </w:rPr>
        <w:t xml:space="preserve">. Trung tâm Ngoại ngữ </w:t>
      </w:r>
      <w:r w:rsidRPr="00671986">
        <w:rPr>
          <w:rFonts w:ascii="Times New Roman" w:hAnsi="Times New Roman" w:cs="Times New Roman"/>
          <w:color w:val="000000"/>
          <w:sz w:val="28"/>
          <w:szCs w:val="28"/>
          <w:lang w:val="es-BO"/>
        </w:rPr>
        <w:t>-</w:t>
      </w:r>
      <w:r w:rsidRPr="000B63B9">
        <w:rPr>
          <w:rFonts w:ascii="Times New Roman" w:hAnsi="Times New Roman" w:cs="Times New Roman"/>
          <w:color w:val="000000"/>
          <w:sz w:val="28"/>
          <w:szCs w:val="28"/>
          <w:lang w:val="es-BO"/>
        </w:rPr>
        <w:t xml:space="preserve"> Tin học trở thành đơn vị chủ lực cung cấp chứng chỉ</w:t>
      </w:r>
      <w:r w:rsidRPr="00671986">
        <w:rPr>
          <w:rFonts w:ascii="Times New Roman" w:hAnsi="Times New Roman" w:cs="Times New Roman"/>
          <w:color w:val="000000"/>
          <w:sz w:val="28"/>
          <w:szCs w:val="28"/>
          <w:lang w:val="es-BO"/>
        </w:rPr>
        <w:t>/chứng nhận</w:t>
      </w:r>
      <w:r w:rsidRPr="000B63B9">
        <w:rPr>
          <w:rFonts w:ascii="Times New Roman" w:hAnsi="Times New Roman" w:cs="Times New Roman"/>
          <w:color w:val="000000"/>
          <w:sz w:val="28"/>
          <w:szCs w:val="28"/>
          <w:lang w:val="es-BO"/>
        </w:rPr>
        <w:t xml:space="preserve"> ứng dụng CNTT</w:t>
      </w:r>
      <w:r w:rsidRPr="00671986">
        <w:rPr>
          <w:rFonts w:ascii="Times New Roman" w:hAnsi="Times New Roman" w:cs="Times New Roman"/>
          <w:color w:val="000000"/>
          <w:sz w:val="28"/>
          <w:szCs w:val="28"/>
          <w:lang w:val="es-BO"/>
        </w:rPr>
        <w:t xml:space="preserve">, </w:t>
      </w:r>
      <w:r w:rsidRPr="000B63B9">
        <w:rPr>
          <w:rFonts w:ascii="Times New Roman" w:hAnsi="Times New Roman" w:cs="Times New Roman"/>
          <w:color w:val="000000"/>
          <w:sz w:val="28"/>
          <w:szCs w:val="28"/>
          <w:lang w:val="es-BO"/>
        </w:rPr>
        <w:t>ngoại ngữ</w:t>
      </w:r>
      <w:r w:rsidRPr="00671986">
        <w:rPr>
          <w:rFonts w:ascii="Times New Roman" w:hAnsi="Times New Roman" w:cs="Times New Roman"/>
          <w:color w:val="000000"/>
          <w:sz w:val="28"/>
          <w:szCs w:val="28"/>
          <w:lang w:val="es-BO"/>
        </w:rPr>
        <w:t xml:space="preserve"> và tiếng dân tộc thiểu số</w:t>
      </w:r>
      <w:r w:rsidRPr="000B63B9">
        <w:rPr>
          <w:rFonts w:ascii="Times New Roman" w:hAnsi="Times New Roman" w:cs="Times New Roman"/>
          <w:color w:val="000000"/>
          <w:sz w:val="28"/>
          <w:szCs w:val="28"/>
          <w:lang w:val="es-BO"/>
        </w:rPr>
        <w:t xml:space="preserve"> cho tỉnh: 100% học viên thi các khóa Tin học cơ bản, tiếng Lào, tiếng Hàn</w:t>
      </w:r>
      <w:r w:rsidRPr="00671986">
        <w:rPr>
          <w:rFonts w:ascii="Times New Roman" w:hAnsi="Times New Roman" w:cs="Times New Roman"/>
          <w:color w:val="000000"/>
          <w:sz w:val="28"/>
          <w:szCs w:val="28"/>
          <w:lang w:val="es-BO"/>
        </w:rPr>
        <w:t xml:space="preserve"> Quốc, Nhật Bản</w:t>
      </w:r>
      <w:r w:rsidRPr="000B63B9">
        <w:rPr>
          <w:rFonts w:ascii="Times New Roman" w:hAnsi="Times New Roman" w:cs="Times New Roman"/>
          <w:color w:val="000000"/>
          <w:sz w:val="28"/>
          <w:szCs w:val="28"/>
          <w:lang w:val="es-BO"/>
        </w:rPr>
        <w:t xml:space="preserve"> tại Trung tâm đều đạt yêu cầu và được cấp chứng chỉ. Trung tâm cũng tiên phong mở các lớp ngoại ngữ mới (tiếng Nhật, Hàn) đáp ứng nhu cầu học tập, xuất khẩu lao động của người dân địa phương. Có thể nói, giáo dục thường xuyên </w:t>
      </w:r>
      <w:r w:rsidRPr="00671986">
        <w:rPr>
          <w:rFonts w:ascii="Times New Roman" w:hAnsi="Times New Roman" w:cs="Times New Roman"/>
          <w:color w:val="000000"/>
          <w:sz w:val="28"/>
          <w:szCs w:val="28"/>
          <w:lang w:val="es-BO"/>
        </w:rPr>
        <w:t>của các đơn vị trước khi sáp nhập thành Trung tâm GDNN-GDTX 1</w:t>
      </w:r>
      <w:r w:rsidRPr="000B63B9">
        <w:rPr>
          <w:rFonts w:ascii="Times New Roman" w:hAnsi="Times New Roman" w:cs="Times New Roman"/>
          <w:color w:val="000000"/>
          <w:sz w:val="28"/>
          <w:szCs w:val="28"/>
          <w:lang w:val="es-BO"/>
        </w:rPr>
        <w:t xml:space="preserve"> giai đoạn 2021</w:t>
      </w:r>
      <w:r w:rsidRPr="00671986">
        <w:rPr>
          <w:rFonts w:ascii="Times New Roman" w:hAnsi="Times New Roman" w:cs="Times New Roman"/>
          <w:color w:val="000000"/>
          <w:sz w:val="28"/>
          <w:szCs w:val="28"/>
          <w:lang w:val="es-BO"/>
        </w:rPr>
        <w:t>-</w:t>
      </w:r>
      <w:r w:rsidRPr="000B63B9">
        <w:rPr>
          <w:rFonts w:ascii="Times New Roman" w:hAnsi="Times New Roman" w:cs="Times New Roman"/>
          <w:color w:val="000000"/>
          <w:sz w:val="28"/>
          <w:szCs w:val="28"/>
          <w:lang w:val="es-BO"/>
        </w:rPr>
        <w:t>2025 đã đóng góp quan trọng trong việc nâng cao dân trí, đào tạo nhân lực tại chỗ, với nhiều điểm sáng về đổi mới và hiệu quả.</w:t>
      </w:r>
    </w:p>
    <w:p w14:paraId="0E791360" w14:textId="50DF1293" w:rsidR="007C09DF" w:rsidRPr="009403ED" w:rsidRDefault="007C09DF" w:rsidP="009403ED">
      <w:pPr>
        <w:pStyle w:val="Heading2"/>
        <w:ind w:firstLine="720"/>
        <w:rPr>
          <w:rStyle w:val="Strong"/>
          <w:rFonts w:cs="Times New Roman"/>
          <w:b/>
          <w:bCs w:val="0"/>
          <w:szCs w:val="28"/>
          <w:lang w:val="es-BO"/>
        </w:rPr>
      </w:pPr>
      <w:r w:rsidRPr="009403ED">
        <w:rPr>
          <w:rStyle w:val="Strong"/>
          <w:rFonts w:cs="Times New Roman"/>
          <w:b/>
          <w:bCs w:val="0"/>
          <w:szCs w:val="28"/>
          <w:lang w:val="es-BO"/>
        </w:rPr>
        <w:t>III. Giải pháp thực hiện hoàn thành chỉ tiêu chỉ tiêu Kế hoạch giai đoạn 2021-2025 của UBND tỉnh</w:t>
      </w:r>
      <w:r w:rsidR="00550765" w:rsidRPr="009403ED">
        <w:rPr>
          <w:rStyle w:val="Strong"/>
          <w:rFonts w:cs="Times New Roman"/>
          <w:b/>
          <w:bCs w:val="0"/>
          <w:szCs w:val="28"/>
          <w:lang w:val="es-BO"/>
        </w:rPr>
        <w:t>,</w:t>
      </w:r>
      <w:r w:rsidRPr="009403ED">
        <w:rPr>
          <w:rStyle w:val="Strong"/>
          <w:rFonts w:cs="Times New Roman"/>
          <w:b/>
          <w:bCs w:val="0"/>
          <w:szCs w:val="28"/>
          <w:lang w:val="es-BO"/>
        </w:rPr>
        <w:t xml:space="preserve"> UBND các huyện</w:t>
      </w:r>
      <w:r w:rsidR="00550765" w:rsidRPr="009403ED">
        <w:rPr>
          <w:rStyle w:val="Strong"/>
          <w:rFonts w:cs="Times New Roman"/>
          <w:b/>
          <w:bCs w:val="0"/>
          <w:szCs w:val="28"/>
          <w:lang w:val="es-BO"/>
        </w:rPr>
        <w:t xml:space="preserve"> </w:t>
      </w:r>
      <w:r w:rsidRPr="009403ED">
        <w:rPr>
          <w:rStyle w:val="Strong"/>
          <w:rFonts w:cs="Times New Roman"/>
          <w:b/>
          <w:bCs w:val="0"/>
          <w:szCs w:val="28"/>
          <w:lang w:val="es-BO"/>
        </w:rPr>
        <w:t>(cũ)</w:t>
      </w:r>
      <w:r w:rsidR="00550765" w:rsidRPr="009403ED">
        <w:rPr>
          <w:rStyle w:val="Strong"/>
          <w:rFonts w:cs="Times New Roman"/>
          <w:b/>
          <w:bCs w:val="0"/>
          <w:szCs w:val="28"/>
          <w:lang w:val="es-BO"/>
        </w:rPr>
        <w:t xml:space="preserve"> và Sở Giáo dục và Đào tạo</w:t>
      </w:r>
    </w:p>
    <w:p w14:paraId="0EABC4EB" w14:textId="77777777" w:rsidR="00550765" w:rsidRPr="009403ED" w:rsidRDefault="00550765" w:rsidP="009403ED">
      <w:pPr>
        <w:spacing w:before="120" w:after="120"/>
        <w:ind w:firstLine="720"/>
        <w:jc w:val="both"/>
        <w:rPr>
          <w:rFonts w:ascii="Times New Roman" w:hAnsi="Times New Roman" w:cs="Times New Roman"/>
          <w:color w:val="000000"/>
          <w:spacing w:val="-6"/>
          <w:sz w:val="28"/>
          <w:szCs w:val="28"/>
          <w:lang w:val="es-BO"/>
        </w:rPr>
      </w:pPr>
      <w:r w:rsidRPr="009403ED">
        <w:rPr>
          <w:rFonts w:ascii="Times New Roman" w:hAnsi="Times New Roman" w:cs="Times New Roman"/>
          <w:color w:val="000000"/>
          <w:spacing w:val="-6"/>
          <w:sz w:val="28"/>
          <w:szCs w:val="28"/>
          <w:lang w:val="es-BO"/>
        </w:rPr>
        <w:t xml:space="preserve">Để hoàn thành các mục tiêu kế hoạch 5 năm, các trung tâm đã triển khai đồng bộ nhiều giải pháp: </w:t>
      </w:r>
    </w:p>
    <w:p w14:paraId="26E85344" w14:textId="77777777" w:rsidR="00550765" w:rsidRPr="009403ED" w:rsidRDefault="00550765" w:rsidP="009403ED">
      <w:pPr>
        <w:spacing w:before="120" w:after="120"/>
        <w:ind w:firstLine="720"/>
        <w:jc w:val="both"/>
        <w:rPr>
          <w:rFonts w:ascii="Times New Roman" w:hAnsi="Times New Roman" w:cs="Times New Roman"/>
          <w:color w:val="000000"/>
          <w:spacing w:val="-6"/>
          <w:sz w:val="28"/>
          <w:szCs w:val="28"/>
          <w:lang w:val="es-BO"/>
        </w:rPr>
      </w:pPr>
      <w:r w:rsidRPr="009403ED">
        <w:rPr>
          <w:rFonts w:ascii="Times New Roman" w:hAnsi="Times New Roman" w:cs="Times New Roman"/>
          <w:color w:val="000000"/>
          <w:spacing w:val="-6"/>
          <w:sz w:val="28"/>
          <w:szCs w:val="28"/>
          <w:lang w:val="es-BO"/>
        </w:rPr>
        <w:t xml:space="preserve">(1) </w:t>
      </w:r>
      <w:r w:rsidRPr="009403ED">
        <w:rPr>
          <w:rFonts w:ascii="Times New Roman" w:hAnsi="Times New Roman" w:cs="Times New Roman"/>
          <w:b/>
          <w:bCs/>
          <w:color w:val="000000"/>
          <w:spacing w:val="-6"/>
          <w:sz w:val="28"/>
          <w:szCs w:val="28"/>
          <w:lang w:val="es-BO"/>
        </w:rPr>
        <w:t>Tăng cường giáo dục chính trị tư tưởng</w:t>
      </w:r>
      <w:r w:rsidRPr="009403ED">
        <w:rPr>
          <w:rFonts w:ascii="Times New Roman" w:hAnsi="Times New Roman" w:cs="Times New Roman"/>
          <w:color w:val="000000"/>
          <w:spacing w:val="-6"/>
          <w:sz w:val="28"/>
          <w:szCs w:val="28"/>
          <w:lang w:val="es-BO"/>
        </w:rPr>
        <w:t xml:space="preserve"> cho đội ngũ, xây dựng tập thể đoàn kết, tận tâm với sự nghiệp giáo dục. </w:t>
      </w:r>
    </w:p>
    <w:p w14:paraId="5C16F9E4" w14:textId="77777777" w:rsidR="00550765" w:rsidRPr="009403ED" w:rsidRDefault="00550765" w:rsidP="009403ED">
      <w:pPr>
        <w:spacing w:before="120" w:after="120"/>
        <w:ind w:firstLine="720"/>
        <w:jc w:val="both"/>
        <w:rPr>
          <w:rFonts w:ascii="Times New Roman" w:hAnsi="Times New Roman" w:cs="Times New Roman"/>
          <w:color w:val="000000"/>
          <w:spacing w:val="-6"/>
          <w:sz w:val="28"/>
          <w:szCs w:val="28"/>
          <w:lang w:val="es-BO"/>
        </w:rPr>
      </w:pPr>
      <w:r w:rsidRPr="009403ED">
        <w:rPr>
          <w:rFonts w:ascii="Times New Roman" w:hAnsi="Times New Roman" w:cs="Times New Roman"/>
          <w:color w:val="000000"/>
          <w:spacing w:val="-6"/>
          <w:sz w:val="28"/>
          <w:szCs w:val="28"/>
          <w:lang w:val="es-BO"/>
        </w:rPr>
        <w:t xml:space="preserve">(2) </w:t>
      </w:r>
      <w:r w:rsidRPr="009403ED">
        <w:rPr>
          <w:rFonts w:ascii="Times New Roman" w:hAnsi="Times New Roman" w:cs="Times New Roman"/>
          <w:b/>
          <w:bCs/>
          <w:color w:val="000000"/>
          <w:spacing w:val="-6"/>
          <w:sz w:val="28"/>
          <w:szCs w:val="28"/>
          <w:lang w:val="es-BO"/>
        </w:rPr>
        <w:t>Đổi mới công tác quản lý</w:t>
      </w:r>
      <w:r w:rsidRPr="009403ED">
        <w:rPr>
          <w:rFonts w:ascii="Times New Roman" w:hAnsi="Times New Roman" w:cs="Times New Roman"/>
          <w:color w:val="000000"/>
          <w:spacing w:val="-6"/>
          <w:sz w:val="28"/>
          <w:szCs w:val="28"/>
          <w:lang w:val="es-BO"/>
        </w:rPr>
        <w:t xml:space="preserve">: </w:t>
      </w:r>
      <w:r w:rsidRPr="00671986">
        <w:rPr>
          <w:rFonts w:ascii="Times New Roman" w:hAnsi="Times New Roman" w:cs="Times New Roman"/>
          <w:color w:val="000000"/>
          <w:spacing w:val="-6"/>
          <w:sz w:val="28"/>
          <w:szCs w:val="28"/>
          <w:lang w:val="es-BO"/>
        </w:rPr>
        <w:t>thực hiện nghiêm kỷ cương hành chính, phân cấp rõ trách nhiệm, đề cao vai trò người đứng đầu; đồng thời phát huy tính tự chủ, sáng tạo của các phòng ban, giáo viên trong tổ chức chương trình đào tạo.</w:t>
      </w:r>
      <w:r w:rsidRPr="009403ED">
        <w:rPr>
          <w:rFonts w:ascii="Times New Roman" w:hAnsi="Times New Roman" w:cs="Times New Roman"/>
          <w:color w:val="000000"/>
          <w:spacing w:val="-6"/>
          <w:sz w:val="28"/>
          <w:szCs w:val="28"/>
          <w:lang w:val="es-BO"/>
        </w:rPr>
        <w:t xml:space="preserve"> </w:t>
      </w:r>
    </w:p>
    <w:p w14:paraId="03FE80C6" w14:textId="77777777" w:rsidR="00550765" w:rsidRPr="009403ED" w:rsidRDefault="00550765" w:rsidP="009403ED">
      <w:pPr>
        <w:spacing w:before="120" w:after="120"/>
        <w:ind w:firstLine="720"/>
        <w:jc w:val="both"/>
        <w:rPr>
          <w:rFonts w:ascii="Times New Roman" w:hAnsi="Times New Roman" w:cs="Times New Roman"/>
          <w:color w:val="000000"/>
          <w:spacing w:val="-6"/>
          <w:sz w:val="28"/>
          <w:szCs w:val="28"/>
          <w:lang w:val="es-BO"/>
        </w:rPr>
      </w:pPr>
      <w:r w:rsidRPr="009403ED">
        <w:rPr>
          <w:rFonts w:ascii="Times New Roman" w:hAnsi="Times New Roman" w:cs="Times New Roman"/>
          <w:color w:val="000000"/>
          <w:spacing w:val="-6"/>
          <w:sz w:val="28"/>
          <w:szCs w:val="28"/>
          <w:lang w:val="es-BO"/>
        </w:rPr>
        <w:t xml:space="preserve">(3) </w:t>
      </w:r>
      <w:r w:rsidRPr="009403ED">
        <w:rPr>
          <w:rFonts w:ascii="Times New Roman" w:hAnsi="Times New Roman" w:cs="Times New Roman"/>
          <w:b/>
          <w:bCs/>
          <w:color w:val="000000"/>
          <w:spacing w:val="-6"/>
          <w:sz w:val="28"/>
          <w:szCs w:val="28"/>
          <w:lang w:val="es-BO"/>
        </w:rPr>
        <w:t>Nâng cao chất lượng chuyên môn</w:t>
      </w:r>
      <w:r w:rsidRPr="009403ED">
        <w:rPr>
          <w:rFonts w:ascii="Times New Roman" w:hAnsi="Times New Roman" w:cs="Times New Roman"/>
          <w:color w:val="000000"/>
          <w:spacing w:val="-6"/>
          <w:sz w:val="28"/>
          <w:szCs w:val="28"/>
          <w:lang w:val="es-BO"/>
        </w:rPr>
        <w:t xml:space="preserve">: tổ chức thường xuyên các buổi sinh hoạt chuyên đề, bồi dưỡng chuyên môn cho giáo viên; khuyến khích giáo viên tự học, nâng cao trình độ (học thạc sĩ, học văn bằng 2, lý luận chính trị) để đáp ứng yêu cầu dạy chương trình mới. </w:t>
      </w:r>
    </w:p>
    <w:p w14:paraId="4D434F8E" w14:textId="77777777" w:rsidR="00550765" w:rsidRPr="009403ED" w:rsidRDefault="00550765" w:rsidP="009403ED">
      <w:pPr>
        <w:spacing w:before="120" w:after="120"/>
        <w:ind w:firstLine="720"/>
        <w:jc w:val="both"/>
        <w:rPr>
          <w:rFonts w:ascii="Times New Roman" w:hAnsi="Times New Roman" w:cs="Times New Roman"/>
          <w:color w:val="000000"/>
          <w:spacing w:val="-6"/>
          <w:sz w:val="28"/>
          <w:szCs w:val="28"/>
          <w:lang w:val="es-BO"/>
        </w:rPr>
      </w:pPr>
      <w:r w:rsidRPr="009403ED">
        <w:rPr>
          <w:rFonts w:ascii="Times New Roman" w:hAnsi="Times New Roman" w:cs="Times New Roman"/>
          <w:color w:val="000000"/>
          <w:spacing w:val="-6"/>
          <w:sz w:val="28"/>
          <w:szCs w:val="28"/>
          <w:lang w:val="es-BO"/>
        </w:rPr>
        <w:t xml:space="preserve">(4) </w:t>
      </w:r>
      <w:r w:rsidRPr="009403ED">
        <w:rPr>
          <w:rFonts w:ascii="Times New Roman" w:hAnsi="Times New Roman" w:cs="Times New Roman"/>
          <w:b/>
          <w:bCs/>
          <w:color w:val="000000"/>
          <w:spacing w:val="-6"/>
          <w:sz w:val="28"/>
          <w:szCs w:val="28"/>
          <w:lang w:val="es-BO"/>
        </w:rPr>
        <w:t>Đa dạng hóa chương trình đào tạo</w:t>
      </w:r>
      <w:r w:rsidRPr="009403ED">
        <w:rPr>
          <w:rFonts w:ascii="Times New Roman" w:hAnsi="Times New Roman" w:cs="Times New Roman"/>
          <w:color w:val="000000"/>
          <w:spacing w:val="-6"/>
          <w:sz w:val="28"/>
          <w:szCs w:val="28"/>
          <w:lang w:val="es-BO"/>
        </w:rPr>
        <w:t xml:space="preserve">: mở thêm các lớp nghề ngắn hạn, các lớp ngoại ngữ, tin học, đáp ứng nhu cầu học tập suốt đời của người dân; phối hợp các tổ chức, doanh nghiệp để tổ chức khóa đào tạo theo yêu cầu xã hội. </w:t>
      </w:r>
    </w:p>
    <w:p w14:paraId="518A02CE" w14:textId="77777777" w:rsidR="00550765" w:rsidRPr="009403ED" w:rsidRDefault="00550765" w:rsidP="009403ED">
      <w:pPr>
        <w:spacing w:before="120" w:after="120"/>
        <w:ind w:firstLine="720"/>
        <w:jc w:val="both"/>
        <w:rPr>
          <w:rFonts w:ascii="Times New Roman" w:hAnsi="Times New Roman" w:cs="Times New Roman"/>
          <w:color w:val="000000"/>
          <w:spacing w:val="-6"/>
          <w:sz w:val="28"/>
          <w:szCs w:val="28"/>
          <w:lang w:val="es-BO"/>
        </w:rPr>
      </w:pPr>
      <w:r w:rsidRPr="009403ED">
        <w:rPr>
          <w:rFonts w:ascii="Times New Roman" w:hAnsi="Times New Roman" w:cs="Times New Roman"/>
          <w:color w:val="000000"/>
          <w:spacing w:val="-6"/>
          <w:sz w:val="28"/>
          <w:szCs w:val="28"/>
          <w:lang w:val="es-BO"/>
        </w:rPr>
        <w:t xml:space="preserve">(5) </w:t>
      </w:r>
      <w:r w:rsidRPr="009403ED">
        <w:rPr>
          <w:rFonts w:ascii="Times New Roman" w:hAnsi="Times New Roman" w:cs="Times New Roman"/>
          <w:b/>
          <w:bCs/>
          <w:color w:val="000000"/>
          <w:spacing w:val="-6"/>
          <w:sz w:val="28"/>
          <w:szCs w:val="28"/>
          <w:lang w:val="es-BO"/>
        </w:rPr>
        <w:t>Đẩy mạnh chuyển đổi số</w:t>
      </w:r>
      <w:r w:rsidRPr="009403ED">
        <w:rPr>
          <w:rFonts w:ascii="Times New Roman" w:hAnsi="Times New Roman" w:cs="Times New Roman"/>
          <w:color w:val="000000"/>
          <w:spacing w:val="-6"/>
          <w:sz w:val="28"/>
          <w:szCs w:val="28"/>
          <w:lang w:val="es-BO"/>
        </w:rPr>
        <w:t xml:space="preserve">: tất cả trung tâm xây dựng kế hoạch ứng dụng CNTT, trang bị kiến thức kỹ năng số cho cán bộ, giáo viên; thử nghiệm và nhân rộng các mô hình </w:t>
      </w:r>
      <w:r w:rsidRPr="009403ED">
        <w:rPr>
          <w:rFonts w:ascii="Times New Roman" w:hAnsi="Times New Roman" w:cs="Times New Roman"/>
          <w:color w:val="000000"/>
          <w:spacing w:val="-6"/>
          <w:sz w:val="28"/>
          <w:szCs w:val="28"/>
          <w:lang w:val="es-BO"/>
        </w:rPr>
        <w:lastRenderedPageBreak/>
        <w:t xml:space="preserve">như sổ điểm, học bạ điện tử, lớp học trực tuyến… nhằm hiện đại hóa phương thức quản lý và giảng dạy. </w:t>
      </w:r>
    </w:p>
    <w:p w14:paraId="61ED605C" w14:textId="77777777" w:rsidR="00550765" w:rsidRPr="009403ED" w:rsidRDefault="00550765" w:rsidP="009403ED">
      <w:pPr>
        <w:spacing w:before="120" w:after="120"/>
        <w:ind w:firstLine="720"/>
        <w:jc w:val="both"/>
        <w:rPr>
          <w:rFonts w:ascii="Times New Roman" w:hAnsi="Times New Roman" w:cs="Times New Roman"/>
          <w:color w:val="000000"/>
          <w:spacing w:val="-6"/>
          <w:sz w:val="28"/>
          <w:szCs w:val="28"/>
          <w:lang w:val="es-BO"/>
        </w:rPr>
      </w:pPr>
      <w:r w:rsidRPr="009403ED">
        <w:rPr>
          <w:rFonts w:ascii="Times New Roman" w:hAnsi="Times New Roman" w:cs="Times New Roman"/>
          <w:color w:val="000000"/>
          <w:spacing w:val="-6"/>
          <w:sz w:val="28"/>
          <w:szCs w:val="28"/>
          <w:lang w:val="es-BO"/>
        </w:rPr>
        <w:t xml:space="preserve">(6) </w:t>
      </w:r>
      <w:r w:rsidRPr="009403ED">
        <w:rPr>
          <w:rFonts w:ascii="Times New Roman" w:hAnsi="Times New Roman" w:cs="Times New Roman"/>
          <w:b/>
          <w:bCs/>
          <w:color w:val="000000"/>
          <w:spacing w:val="-6"/>
          <w:sz w:val="28"/>
          <w:szCs w:val="28"/>
          <w:lang w:val="es-BO"/>
        </w:rPr>
        <w:t>Huy động nguồn lực hỗ trợ</w:t>
      </w:r>
      <w:r w:rsidRPr="009403ED">
        <w:rPr>
          <w:rFonts w:ascii="Times New Roman" w:hAnsi="Times New Roman" w:cs="Times New Roman"/>
          <w:color w:val="000000"/>
          <w:spacing w:val="-6"/>
          <w:sz w:val="28"/>
          <w:szCs w:val="28"/>
          <w:lang w:val="es-BO"/>
        </w:rPr>
        <w:t xml:space="preserve">: tích cực tham mưu với cấp trên, tranh thủ các dự án, đề án để đầu tư cơ sở vật chất (ví dụ: đề án ngoại ngữ quốc gia hỗ trợ giáo viên bản ngữ; đề án hợp tác Lào hỗ trợ kinh phí đào tạo LHS). </w:t>
      </w:r>
    </w:p>
    <w:p w14:paraId="5F9F5CB8" w14:textId="28C67E70" w:rsidR="006F63EB" w:rsidRPr="009403ED" w:rsidRDefault="00550765" w:rsidP="009403ED">
      <w:pPr>
        <w:spacing w:before="120" w:after="120"/>
        <w:ind w:firstLine="720"/>
        <w:jc w:val="both"/>
        <w:rPr>
          <w:rFonts w:ascii="Times New Roman" w:hAnsi="Times New Roman" w:cs="Times New Roman"/>
          <w:color w:val="000000"/>
          <w:spacing w:val="-6"/>
          <w:sz w:val="28"/>
          <w:szCs w:val="28"/>
          <w:lang w:val="es-BO"/>
        </w:rPr>
      </w:pPr>
      <w:r w:rsidRPr="009403ED">
        <w:rPr>
          <w:rFonts w:ascii="Times New Roman" w:hAnsi="Times New Roman" w:cs="Times New Roman"/>
          <w:color w:val="000000"/>
          <w:spacing w:val="-6"/>
          <w:sz w:val="28"/>
          <w:szCs w:val="28"/>
          <w:lang w:val="es-BO"/>
        </w:rPr>
        <w:t>Với những giải pháp trên, đến cuối 2025, các mục tiêu chủ yếu của kế hoạch 2021–2025 cơ bản được hoàn thành, tạo tiền đề cho giai đoạn phát triển tiếp theo.</w:t>
      </w:r>
    </w:p>
    <w:p w14:paraId="55E8F3C2" w14:textId="6A9682CF" w:rsidR="007C09DF" w:rsidRPr="009403ED" w:rsidRDefault="007C09DF" w:rsidP="009403ED">
      <w:pPr>
        <w:pStyle w:val="Heading2"/>
        <w:ind w:firstLine="720"/>
        <w:rPr>
          <w:rStyle w:val="Strong"/>
          <w:rFonts w:cs="Times New Roman"/>
          <w:b/>
          <w:bCs w:val="0"/>
          <w:szCs w:val="28"/>
          <w:lang w:val="es-BO"/>
        </w:rPr>
      </w:pPr>
      <w:r w:rsidRPr="009403ED">
        <w:rPr>
          <w:rStyle w:val="Strong"/>
          <w:rFonts w:cs="Times New Roman"/>
          <w:b/>
          <w:bCs w:val="0"/>
          <w:szCs w:val="28"/>
          <w:lang w:val="es-BO"/>
        </w:rPr>
        <w:t xml:space="preserve">IV. Đề xuất, kiến nghị </w:t>
      </w:r>
    </w:p>
    <w:p w14:paraId="2104BBBD" w14:textId="710B6BCC" w:rsidR="006F63EB" w:rsidRPr="009403ED" w:rsidRDefault="00550765" w:rsidP="009403ED">
      <w:pPr>
        <w:pStyle w:val="NormalWeb"/>
        <w:spacing w:before="120" w:beforeAutospacing="0" w:after="120" w:afterAutospacing="0" w:line="276" w:lineRule="auto"/>
        <w:ind w:firstLine="720"/>
        <w:jc w:val="both"/>
        <w:rPr>
          <w:color w:val="000000"/>
          <w:spacing w:val="-6"/>
          <w:sz w:val="28"/>
          <w:szCs w:val="28"/>
          <w:lang w:val="es-BO"/>
        </w:rPr>
      </w:pPr>
      <w:r w:rsidRPr="009403ED">
        <w:rPr>
          <w:color w:val="000000"/>
          <w:spacing w:val="-6"/>
          <w:sz w:val="28"/>
          <w:szCs w:val="28"/>
          <w:lang w:val="es-BO"/>
        </w:rPr>
        <w:t>Trong giai đoạn 2021-2025, các đơn vị GDTX hầu như không có kiến nghị lớn ngoài các đề xuất thường xuyên về bổ sung giáo viên và trang thiết bị. Những khó khăn, vướng mắc chủ yếu đã được tổng hợp và đề xuất giải quyết trong định hướng kế hoạch 2026 (chi tiết tại phần D - kiến nghị, đề xuất).</w:t>
      </w:r>
    </w:p>
    <w:p w14:paraId="64DC47EB" w14:textId="4FB738D5" w:rsidR="007C09DF" w:rsidRPr="009403ED" w:rsidRDefault="007C09DF" w:rsidP="009403ED">
      <w:pPr>
        <w:pStyle w:val="Heading1"/>
        <w:ind w:firstLine="720"/>
        <w:jc w:val="both"/>
        <w:rPr>
          <w:rStyle w:val="Strong"/>
          <w:rFonts w:cs="Times New Roman"/>
          <w:b/>
          <w:bCs w:val="0"/>
          <w:szCs w:val="28"/>
          <w:lang w:val="es-BO"/>
        </w:rPr>
      </w:pPr>
      <w:r w:rsidRPr="009403ED">
        <w:rPr>
          <w:rStyle w:val="Strong"/>
          <w:rFonts w:cs="Times New Roman"/>
          <w:b/>
          <w:bCs w:val="0"/>
          <w:szCs w:val="28"/>
          <w:lang w:val="es-BO"/>
        </w:rPr>
        <w:t>C. KẾ HOẠCH PHÁT TRIỂN KINH TẾ XÃ HỘI NĂM 2026 LĨNH VỰC GIÁO DỤC VÀ ĐÀO TẠO</w:t>
      </w:r>
    </w:p>
    <w:p w14:paraId="71BFF888" w14:textId="77777777" w:rsidR="007C09DF" w:rsidRPr="009403ED" w:rsidRDefault="007C09DF" w:rsidP="009403ED">
      <w:pPr>
        <w:pStyle w:val="Heading2"/>
        <w:ind w:firstLine="720"/>
        <w:rPr>
          <w:rStyle w:val="Strong"/>
          <w:rFonts w:cs="Times New Roman"/>
          <w:b/>
          <w:bCs w:val="0"/>
          <w:szCs w:val="28"/>
          <w:lang w:val="es-BO"/>
        </w:rPr>
      </w:pPr>
      <w:r w:rsidRPr="009403ED">
        <w:rPr>
          <w:rStyle w:val="Strong"/>
          <w:rFonts w:cs="Times New Roman"/>
          <w:b/>
          <w:bCs w:val="0"/>
          <w:szCs w:val="28"/>
          <w:lang w:val="es-BO"/>
        </w:rPr>
        <w:t>I. Các chỉ tiêu chủ yếu</w:t>
      </w:r>
    </w:p>
    <w:p w14:paraId="6CAE6467" w14:textId="028314FC" w:rsidR="007C09DF" w:rsidRPr="009403ED" w:rsidRDefault="007C09DF" w:rsidP="009403ED">
      <w:pPr>
        <w:pStyle w:val="NormalWeb"/>
        <w:spacing w:before="120" w:beforeAutospacing="0" w:after="120" w:afterAutospacing="0" w:line="276" w:lineRule="auto"/>
        <w:ind w:firstLine="720"/>
        <w:jc w:val="both"/>
        <w:outlineLvl w:val="2"/>
        <w:rPr>
          <w:b/>
          <w:bCs/>
          <w:i/>
          <w:iCs/>
          <w:color w:val="000000"/>
          <w:sz w:val="28"/>
          <w:szCs w:val="28"/>
          <w:lang w:val="es-BO"/>
        </w:rPr>
      </w:pPr>
      <w:r w:rsidRPr="009403ED">
        <w:rPr>
          <w:b/>
          <w:bCs/>
          <w:i/>
          <w:iCs/>
          <w:color w:val="000000"/>
          <w:sz w:val="28"/>
          <w:szCs w:val="28"/>
          <w:lang w:val="es-BO"/>
        </w:rPr>
        <w:t>1. Dự báo quy mô</w:t>
      </w:r>
      <w:r w:rsidR="00550765" w:rsidRPr="009403ED">
        <w:rPr>
          <w:b/>
          <w:bCs/>
          <w:i/>
          <w:iCs/>
          <w:color w:val="000000"/>
          <w:sz w:val="28"/>
          <w:szCs w:val="28"/>
          <w:lang w:val="es-BO"/>
        </w:rPr>
        <w:t xml:space="preserve"> giáo dục năm 2026</w:t>
      </w:r>
    </w:p>
    <w:p w14:paraId="7B457C75" w14:textId="77777777" w:rsidR="00671986" w:rsidRDefault="00550765" w:rsidP="009403ED">
      <w:pPr>
        <w:pStyle w:val="NormalWeb"/>
        <w:spacing w:before="120" w:beforeAutospacing="0" w:after="120" w:afterAutospacing="0" w:line="276" w:lineRule="auto"/>
        <w:ind w:firstLine="720"/>
        <w:jc w:val="both"/>
        <w:rPr>
          <w:color w:val="000000"/>
          <w:sz w:val="28"/>
          <w:szCs w:val="28"/>
          <w:lang w:val="es-BO"/>
        </w:rPr>
      </w:pPr>
      <w:r w:rsidRPr="00671986">
        <w:rPr>
          <w:color w:val="000000"/>
          <w:sz w:val="28"/>
          <w:szCs w:val="28"/>
          <w:lang w:val="es-BO"/>
        </w:rPr>
        <w:t xml:space="preserve">Trung tâm GDNN-GDTX 1 dự kiến tuyển sinh khoảng 900 học viên chương trình GDTX cấp THPT trong năm học 2025-2026, tương ứng duy trì 23-24 lớp học (tăng nhẹ so với năm 2025). Cụ thể, chỉ tiêu giao dự kiến: Trung tâm GDTX tỉnh ~10 lớp với ~400 học viên; Trung tâm GDNN-GDTX huyện Điện Biên ~9 lớp ~380 học viên; Trung tâm GDNN-GDTX huyện Điện Biên Đông ~4 lớp ~110 học viên (tăng 1 lớp so với năm trước). </w:t>
      </w:r>
    </w:p>
    <w:p w14:paraId="49EF17AE" w14:textId="49952F54" w:rsidR="00550765" w:rsidRPr="00671986" w:rsidRDefault="00550765" w:rsidP="009403ED">
      <w:pPr>
        <w:pStyle w:val="NormalWeb"/>
        <w:spacing w:before="120" w:beforeAutospacing="0" w:after="120" w:afterAutospacing="0" w:line="276" w:lineRule="auto"/>
        <w:ind w:firstLine="720"/>
        <w:jc w:val="both"/>
        <w:rPr>
          <w:color w:val="000000"/>
          <w:sz w:val="28"/>
          <w:szCs w:val="28"/>
          <w:lang w:val="es-BO"/>
        </w:rPr>
      </w:pPr>
      <w:r w:rsidRPr="00671986">
        <w:rPr>
          <w:color w:val="000000"/>
          <w:sz w:val="28"/>
          <w:szCs w:val="28"/>
          <w:lang w:val="es-BO"/>
        </w:rPr>
        <w:t>Ngoài ra, phấn đấu mở rộng quy mô các chương trình giáo dục thường xuyên khác: đào tạo ngoại ngữ, tin học khoảng 90-100 lớp/năm (tương đương &gt;2.000 học viên các ngoại ngữ Anh, Lào, Nhật, Hàn, tiếng dân tộc và các lớp tin học cơ bản); đào tạo nghề ngắn hạn cho lao động nông thôn và bồi dưỡng kỹ năng theo chuyên đề khoảng 800-1.000 học viên/năm (theo các đề án, chương trình mục tiêu). Chỉ tiêu cụ thể sẽ được giao theo quyết định của UBND tỉnh và kế hoạch của Sở GD&amp;ĐT (Trung tâm sẽ cập nhật khi có quyết định giao chỉ tiêu). Mục tiêu chung là ổn định và từng bước phát triển quy mô giáo dục thường xuyên, đảm bảo mọi người dân có nhu cầu đều được tạo cơ hội học tập phù hợp.</w:t>
      </w:r>
    </w:p>
    <w:p w14:paraId="794EABF1" w14:textId="49164596" w:rsidR="007C09DF" w:rsidRPr="009403ED" w:rsidRDefault="007C09DF" w:rsidP="009403ED">
      <w:pPr>
        <w:pStyle w:val="NormalWeb"/>
        <w:spacing w:before="120" w:beforeAutospacing="0" w:after="120" w:afterAutospacing="0" w:line="276" w:lineRule="auto"/>
        <w:ind w:firstLine="720"/>
        <w:jc w:val="both"/>
        <w:outlineLvl w:val="2"/>
        <w:rPr>
          <w:b/>
          <w:bCs/>
          <w:i/>
          <w:iCs/>
          <w:color w:val="000000"/>
          <w:sz w:val="28"/>
          <w:szCs w:val="28"/>
          <w:lang w:val="es-BO"/>
        </w:rPr>
      </w:pPr>
      <w:r w:rsidRPr="009403ED">
        <w:rPr>
          <w:b/>
          <w:bCs/>
          <w:i/>
          <w:iCs/>
          <w:color w:val="000000"/>
          <w:sz w:val="28"/>
          <w:szCs w:val="28"/>
          <w:lang w:val="es-BO"/>
        </w:rPr>
        <w:t>2. Nhu cầu đầu tư xây dựng, sửa chữa, mua sắm thiết bị</w:t>
      </w:r>
    </w:p>
    <w:p w14:paraId="0878A533" w14:textId="77777777" w:rsidR="00550765" w:rsidRPr="00550765" w:rsidRDefault="00550765" w:rsidP="009403ED">
      <w:pPr>
        <w:pStyle w:val="NormalWeb"/>
        <w:spacing w:before="120" w:beforeAutospacing="0" w:after="120" w:afterAutospacing="0" w:line="276" w:lineRule="auto"/>
        <w:ind w:firstLine="720"/>
        <w:jc w:val="both"/>
        <w:rPr>
          <w:color w:val="000000"/>
          <w:sz w:val="28"/>
          <w:szCs w:val="28"/>
          <w:lang w:val="es-BO"/>
        </w:rPr>
      </w:pPr>
      <w:r w:rsidRPr="00550765">
        <w:rPr>
          <w:color w:val="000000"/>
          <w:sz w:val="28"/>
          <w:szCs w:val="28"/>
          <w:lang w:val="es-BO"/>
        </w:rPr>
        <w:t>Để thực hiện tốt kế hoạch 2026, Trung tâm GDNN-GDTX 1 đề nghị được đầu tư tăng cường cơ sở vật chất cho các cơ sở sáp nhập. Cụ thể:</w:t>
      </w:r>
    </w:p>
    <w:p w14:paraId="43466E74" w14:textId="77777777" w:rsidR="004013F0" w:rsidRDefault="009403ED" w:rsidP="009403ED">
      <w:pPr>
        <w:pStyle w:val="NormalWeb"/>
        <w:spacing w:before="120" w:beforeAutospacing="0" w:after="120" w:afterAutospacing="0" w:line="276" w:lineRule="auto"/>
        <w:ind w:firstLine="720"/>
        <w:jc w:val="both"/>
        <w:rPr>
          <w:color w:val="000000"/>
          <w:sz w:val="28"/>
          <w:szCs w:val="28"/>
          <w:lang w:val="es-BO"/>
        </w:rPr>
      </w:pPr>
      <w:r w:rsidRPr="009403ED">
        <w:rPr>
          <w:b/>
          <w:bCs/>
          <w:color w:val="000000"/>
          <w:sz w:val="28"/>
          <w:szCs w:val="28"/>
          <w:lang w:val="es-BO"/>
        </w:rPr>
        <w:t xml:space="preserve">- </w:t>
      </w:r>
      <w:r w:rsidR="00550765" w:rsidRPr="00550765">
        <w:rPr>
          <w:b/>
          <w:bCs/>
          <w:color w:val="000000"/>
          <w:sz w:val="28"/>
          <w:szCs w:val="28"/>
          <w:lang w:val="es-BO"/>
        </w:rPr>
        <w:t>Xây dựng, cải tạo cơ sở hạ tầng:</w:t>
      </w:r>
      <w:r w:rsidR="00550765" w:rsidRPr="00550765">
        <w:rPr>
          <w:color w:val="000000"/>
          <w:sz w:val="28"/>
          <w:szCs w:val="28"/>
          <w:lang w:val="es-BO"/>
        </w:rPr>
        <w:t xml:space="preserve"> </w:t>
      </w:r>
    </w:p>
    <w:p w14:paraId="4B327DA9" w14:textId="7D8D274A" w:rsidR="0079375A" w:rsidRPr="0079375A" w:rsidRDefault="0079375A" w:rsidP="0079375A">
      <w:pPr>
        <w:pStyle w:val="NormalWeb"/>
        <w:spacing w:before="120" w:beforeAutospacing="0" w:after="120" w:afterAutospacing="0" w:line="276" w:lineRule="auto"/>
        <w:ind w:firstLine="720"/>
        <w:jc w:val="both"/>
        <w:rPr>
          <w:color w:val="000000"/>
          <w:sz w:val="28"/>
          <w:szCs w:val="28"/>
        </w:rPr>
      </w:pPr>
      <w:r w:rsidRPr="0079375A">
        <w:rPr>
          <w:color w:val="000000"/>
          <w:sz w:val="28"/>
          <w:szCs w:val="28"/>
        </w:rPr>
        <w:lastRenderedPageBreak/>
        <w:t>Trên cơ sở thực trạng cơ sở vật chất hiện nay và yêu cầu phát triển trong giai đoạn mới, Trung tâm G</w:t>
      </w:r>
      <w:r>
        <w:rPr>
          <w:color w:val="000000"/>
          <w:sz w:val="28"/>
          <w:szCs w:val="28"/>
        </w:rPr>
        <w:t>DNN-GDTX 1</w:t>
      </w:r>
      <w:r w:rsidRPr="0079375A">
        <w:rPr>
          <w:color w:val="000000"/>
          <w:sz w:val="28"/>
          <w:szCs w:val="28"/>
        </w:rPr>
        <w:t xml:space="preserve"> kính đề nghị:</w:t>
      </w:r>
    </w:p>
    <w:p w14:paraId="6B0B8A3E" w14:textId="2F8A0645" w:rsidR="0079375A" w:rsidRPr="0079375A" w:rsidRDefault="0079375A" w:rsidP="0079375A">
      <w:pPr>
        <w:pStyle w:val="NormalWeb"/>
        <w:spacing w:before="120" w:beforeAutospacing="0" w:after="120" w:afterAutospacing="0" w:line="276" w:lineRule="auto"/>
        <w:ind w:firstLine="720"/>
        <w:jc w:val="both"/>
        <w:rPr>
          <w:color w:val="000000"/>
          <w:sz w:val="28"/>
          <w:szCs w:val="28"/>
        </w:rPr>
      </w:pPr>
      <w:r w:rsidRPr="0079375A">
        <w:rPr>
          <w:color w:val="000000"/>
          <w:sz w:val="28"/>
          <w:szCs w:val="28"/>
        </w:rPr>
        <w:t xml:space="preserve">- </w:t>
      </w:r>
      <w:r w:rsidRPr="0079375A">
        <w:rPr>
          <w:color w:val="000000"/>
          <w:sz w:val="28"/>
          <w:szCs w:val="28"/>
        </w:rPr>
        <w:t>Sở Giáo dục và Đào tạo, Ủy ban nhân dân tỉnh quan tâm xem xét, tạo điều kiện cho Trung tâm được nâng cấp, cải tạo 03 cơ sở hiện có gồm: cơ sở chính (Trung tâm GDTX tỉnh cũ), cơ sở huyện Điện Biên và cơ sở huyện Điện Biên Đông. Sau hơn 20 năm sử dụng, nhiều hạng mục công trình đã xuống cấp nghiêm trọng; đồng thời, Trung tâm hiện còn thiếu các phòng học, phòng học chức năng, phòng thực hành – thí nghiệm đạt chuẩn để đáp ứng yêu cầu đổi mới chương trình giáo dục thường xuyên và giáo dục nghề nghiệp.</w:t>
      </w:r>
    </w:p>
    <w:p w14:paraId="34C36229" w14:textId="5D1F401C" w:rsidR="0079375A" w:rsidRPr="0079375A" w:rsidRDefault="0079375A" w:rsidP="0079375A">
      <w:pPr>
        <w:pStyle w:val="NormalWeb"/>
        <w:spacing w:before="120" w:beforeAutospacing="0" w:after="120" w:afterAutospacing="0" w:line="276" w:lineRule="auto"/>
        <w:ind w:firstLine="720"/>
        <w:jc w:val="both"/>
        <w:rPr>
          <w:color w:val="000000"/>
          <w:sz w:val="28"/>
          <w:szCs w:val="28"/>
        </w:rPr>
      </w:pPr>
      <w:r w:rsidRPr="0079375A">
        <w:rPr>
          <w:color w:val="000000"/>
          <w:sz w:val="28"/>
          <w:szCs w:val="28"/>
        </w:rPr>
        <w:t xml:space="preserve">- </w:t>
      </w:r>
      <w:r w:rsidRPr="0079375A">
        <w:rPr>
          <w:color w:val="000000"/>
          <w:sz w:val="28"/>
          <w:szCs w:val="28"/>
        </w:rPr>
        <w:t>Ủy ban nhân dân tỉnh xem xét, bố trí quỹ đất phù hợp để đầu tư xây dựng cơ sở mới của Trung tâm theo hướng đồng bộ, hiện đại, có hệ thống nhà xưởng, phòng thực hành nghề... đáp ứng mục tiêu phát triển giáo dục nghề nghiệp – giáo dục thường xuyên trong giai đoạn trung hạn và dài hạn, phù hợp với định hướng phát triển nguồn nhân lực của tỉnh.</w:t>
      </w:r>
    </w:p>
    <w:p w14:paraId="490BA88B" w14:textId="6E0A80DB" w:rsidR="00550765" w:rsidRPr="00550765" w:rsidRDefault="009403ED" w:rsidP="009403ED">
      <w:pPr>
        <w:pStyle w:val="NormalWeb"/>
        <w:spacing w:before="120" w:beforeAutospacing="0" w:after="120" w:afterAutospacing="0" w:line="276" w:lineRule="auto"/>
        <w:ind w:firstLine="720"/>
        <w:jc w:val="both"/>
        <w:rPr>
          <w:color w:val="000000"/>
          <w:sz w:val="28"/>
          <w:szCs w:val="28"/>
        </w:rPr>
      </w:pPr>
      <w:r w:rsidRPr="009403ED">
        <w:rPr>
          <w:b/>
          <w:bCs/>
          <w:color w:val="000000"/>
          <w:sz w:val="28"/>
          <w:szCs w:val="28"/>
        </w:rPr>
        <w:t xml:space="preserve">- </w:t>
      </w:r>
      <w:r w:rsidR="00550765" w:rsidRPr="00550765">
        <w:rPr>
          <w:b/>
          <w:bCs/>
          <w:color w:val="000000"/>
          <w:sz w:val="28"/>
          <w:szCs w:val="28"/>
        </w:rPr>
        <w:t>Mua sắm trang thiết bị dạy học:</w:t>
      </w:r>
      <w:r w:rsidR="00550765" w:rsidRPr="00550765">
        <w:rPr>
          <w:color w:val="000000"/>
          <w:sz w:val="28"/>
          <w:szCs w:val="28"/>
        </w:rPr>
        <w:t xml:space="preserve"> Năm 2026, nhu cầu thiết bị rất lớn, đặc biệt là thiết bị dạy học cho Chương trình GDPT 2018 lớp 10, 11, 12 (các bộ thiết bị thí nghiệm Lý, Hóa, Sinh; thiết bị môn Tin học; tài liệu, học liệu mới). Trung tâm đề nghị Sở GD&amp;ĐT trang bị đủ danh mục thiết bị tối thiểu cho các môn học theo Thông tư 39/2021/TT-BGDĐT, ưu tiên các trung tâm huyện trước đây chưa được đầu tư. Bên cạnh đó, cần bổ sung máy tính, máy chiếu, thiết bị trình chiếu hỗ trợ giảng dạy; nâng cấp đường truyền internet và hạ tầng CNTT để triển khai hiệu quả chuyển đổi số trong toàn trung tâm.</w:t>
      </w:r>
    </w:p>
    <w:p w14:paraId="5F4DCB63" w14:textId="6BB398B1" w:rsidR="00550765" w:rsidRPr="00550765" w:rsidRDefault="009403ED" w:rsidP="009403ED">
      <w:pPr>
        <w:pStyle w:val="NormalWeb"/>
        <w:spacing w:before="120" w:beforeAutospacing="0" w:after="120" w:afterAutospacing="0" w:line="276" w:lineRule="auto"/>
        <w:ind w:firstLine="720"/>
        <w:jc w:val="both"/>
        <w:rPr>
          <w:color w:val="000000"/>
          <w:sz w:val="28"/>
          <w:szCs w:val="28"/>
        </w:rPr>
      </w:pPr>
      <w:r w:rsidRPr="009403ED">
        <w:rPr>
          <w:b/>
          <w:bCs/>
          <w:color w:val="000000"/>
          <w:sz w:val="28"/>
          <w:szCs w:val="28"/>
        </w:rPr>
        <w:t xml:space="preserve">- </w:t>
      </w:r>
      <w:r w:rsidR="00550765" w:rsidRPr="00550765">
        <w:rPr>
          <w:b/>
          <w:bCs/>
          <w:color w:val="000000"/>
          <w:sz w:val="28"/>
          <w:szCs w:val="28"/>
        </w:rPr>
        <w:t>Kinh phí sửa chữa:</w:t>
      </w:r>
      <w:r w:rsidR="00550765" w:rsidRPr="00550765">
        <w:rPr>
          <w:color w:val="000000"/>
          <w:sz w:val="28"/>
          <w:szCs w:val="28"/>
        </w:rPr>
        <w:t xml:space="preserve"> Đề xuất cấp kinh phí sửa chữa, bảo trì cơ sở vật chất định kỳ (sơn sửa phòng học, cải tạo hệ thống điện nước, nhà vệ sinh). Đặc biệt quan tâm sửa chữa khu nội trú học sinh tại Trung tâm GDTX tỉnh (hiện nhiều phòng ở xuống cấp, ảnh hưởng sinh hoạt của học viên). Nhu cầu kinh phí cụ thể đã được Trung tâm tổng hợp và gửi kèm theo phụ lục dự toán. Việc đầu tư đồng bộ về cơ sở vật chất và thiết bị trong năm 2026 có ý nghĩa quyết định để Trung tâm hoàn thành nhiệm vụ trong tình hình mới (sáp nhập, quy mô lớn hơn và thực hiện chương trình GDPT mới).</w:t>
      </w:r>
    </w:p>
    <w:p w14:paraId="5A272560" w14:textId="7678707E" w:rsidR="007C09DF" w:rsidRPr="009403ED" w:rsidRDefault="007C09DF" w:rsidP="009403ED">
      <w:pPr>
        <w:pStyle w:val="NormalWeb"/>
        <w:spacing w:before="120" w:beforeAutospacing="0" w:after="120" w:afterAutospacing="0" w:line="276" w:lineRule="auto"/>
        <w:ind w:firstLine="720"/>
        <w:jc w:val="both"/>
        <w:outlineLvl w:val="2"/>
        <w:rPr>
          <w:b/>
          <w:bCs/>
          <w:i/>
          <w:iCs/>
          <w:color w:val="000000"/>
          <w:sz w:val="28"/>
          <w:szCs w:val="28"/>
          <w:lang w:val="es-BO"/>
        </w:rPr>
      </w:pPr>
      <w:r w:rsidRPr="009403ED">
        <w:rPr>
          <w:b/>
          <w:bCs/>
          <w:i/>
          <w:iCs/>
          <w:color w:val="000000"/>
          <w:sz w:val="28"/>
          <w:szCs w:val="28"/>
          <w:lang w:val="es-BO"/>
        </w:rPr>
        <w:t>3. Nhiệm vụ chuyên môn trọng tâm</w:t>
      </w:r>
    </w:p>
    <w:p w14:paraId="1A219712" w14:textId="77777777" w:rsidR="00550765" w:rsidRPr="00550765" w:rsidRDefault="00550765" w:rsidP="009403ED">
      <w:pPr>
        <w:pStyle w:val="NormalWeb"/>
        <w:spacing w:before="120" w:beforeAutospacing="0" w:after="120" w:afterAutospacing="0" w:line="276" w:lineRule="auto"/>
        <w:ind w:firstLine="720"/>
        <w:jc w:val="both"/>
        <w:rPr>
          <w:color w:val="000000"/>
          <w:spacing w:val="-4"/>
          <w:sz w:val="28"/>
          <w:szCs w:val="28"/>
          <w:lang w:val="es-BO"/>
        </w:rPr>
      </w:pPr>
      <w:r w:rsidRPr="00550765">
        <w:rPr>
          <w:color w:val="000000"/>
          <w:spacing w:val="-4"/>
          <w:sz w:val="28"/>
          <w:szCs w:val="28"/>
          <w:lang w:val="es-BO"/>
        </w:rPr>
        <w:t>Năm 2026, Trung tâm GDNN-GDTX 1 xác định một số nhiệm vụ trọng tâm sau:</w:t>
      </w:r>
    </w:p>
    <w:p w14:paraId="15AD4B35" w14:textId="63B4628A" w:rsidR="00550765" w:rsidRPr="00550765" w:rsidRDefault="009403ED" w:rsidP="009403ED">
      <w:pPr>
        <w:pStyle w:val="NormalWeb"/>
        <w:spacing w:before="120" w:beforeAutospacing="0" w:after="120" w:afterAutospacing="0" w:line="276" w:lineRule="auto"/>
        <w:ind w:firstLine="720"/>
        <w:jc w:val="both"/>
        <w:rPr>
          <w:color w:val="000000"/>
          <w:sz w:val="28"/>
          <w:szCs w:val="28"/>
          <w:lang w:val="es-BO"/>
        </w:rPr>
      </w:pPr>
      <w:r w:rsidRPr="009403ED">
        <w:rPr>
          <w:b/>
          <w:bCs/>
          <w:color w:val="000000"/>
          <w:sz w:val="28"/>
          <w:szCs w:val="28"/>
          <w:lang w:val="es-BO"/>
        </w:rPr>
        <w:t xml:space="preserve">- </w:t>
      </w:r>
      <w:r w:rsidR="00550765" w:rsidRPr="00550765">
        <w:rPr>
          <w:b/>
          <w:bCs/>
          <w:color w:val="000000"/>
          <w:sz w:val="28"/>
          <w:szCs w:val="28"/>
          <w:lang w:val="es-BO"/>
        </w:rPr>
        <w:t>Triển khai hiệu quả Chương trình GDPT 2018</w:t>
      </w:r>
      <w:r w:rsidR="00550765" w:rsidRPr="00550765">
        <w:rPr>
          <w:color w:val="000000"/>
          <w:sz w:val="28"/>
          <w:szCs w:val="28"/>
          <w:lang w:val="es-BO"/>
        </w:rPr>
        <w:t xml:space="preserve"> đối với giáo dục thường xuyên cấp THPT. Năm học 2025–2026 là năm đầu tiên chương trình mới áp dụng đồng bộ cho cả ba khối 10, 11, 12, do đó Trung tâm sẽ tập trung chỉ đạo thực hiện tốt việc phân nhóm môn học lựa chọn, bố trí đội ngũ giáo viên phù hợp, đảm bảo đủ thiết bị học tập cho các môn học mới. Tổ chức các lớp tập huấn, bồi dưỡng giáo viên </w:t>
      </w:r>
      <w:r w:rsidR="00550765" w:rsidRPr="00550765">
        <w:rPr>
          <w:color w:val="000000"/>
          <w:sz w:val="28"/>
          <w:szCs w:val="28"/>
          <w:lang w:val="es-BO"/>
        </w:rPr>
        <w:lastRenderedPageBreak/>
        <w:t>về chương trình, sách giáo khoa mới; tăng cường sinh hoạt chuyên môn, trao đổi kinh nghiệm giảng dạy các môn tích hợp, hoạt động trải nghiệm hướng nghiệp… để nâng cao chất lượng dạy học trong điều kiện đặc thù của GDTX.</w:t>
      </w:r>
    </w:p>
    <w:p w14:paraId="342AF68A" w14:textId="2567876B" w:rsidR="00550765" w:rsidRPr="00550765" w:rsidRDefault="009403ED" w:rsidP="009403ED">
      <w:pPr>
        <w:pStyle w:val="NormalWeb"/>
        <w:spacing w:before="120" w:beforeAutospacing="0" w:after="120" w:afterAutospacing="0" w:line="276" w:lineRule="auto"/>
        <w:ind w:firstLine="720"/>
        <w:jc w:val="both"/>
        <w:rPr>
          <w:color w:val="000000"/>
          <w:sz w:val="28"/>
          <w:szCs w:val="28"/>
        </w:rPr>
      </w:pPr>
      <w:r w:rsidRPr="009403ED">
        <w:rPr>
          <w:b/>
          <w:bCs/>
          <w:color w:val="000000"/>
          <w:sz w:val="28"/>
          <w:szCs w:val="28"/>
          <w:lang w:val="es-BO"/>
        </w:rPr>
        <w:t xml:space="preserve">- </w:t>
      </w:r>
      <w:r w:rsidR="00550765" w:rsidRPr="00550765">
        <w:rPr>
          <w:b/>
          <w:bCs/>
          <w:color w:val="000000"/>
          <w:sz w:val="28"/>
          <w:szCs w:val="28"/>
          <w:lang w:val="es-BO"/>
        </w:rPr>
        <w:t>Nâng cao hiệu quả phân luồng và liên kết đào tạo nghề:</w:t>
      </w:r>
      <w:r w:rsidR="00550765" w:rsidRPr="00550765">
        <w:rPr>
          <w:color w:val="000000"/>
          <w:sz w:val="28"/>
          <w:szCs w:val="28"/>
          <w:lang w:val="es-BO"/>
        </w:rPr>
        <w:t xml:space="preserve"> Phối hợp chặt chẽ với Trường Cao đẳng Kinh tế – Kỹ thuật và các cơ sở giáo dục nghề nghiệp trên địa bàn để tổ chức tốt mô hình giáo dục song hành văn hóa + trung cấp nghề. </w:t>
      </w:r>
      <w:r w:rsidR="00550765" w:rsidRPr="00550765">
        <w:rPr>
          <w:color w:val="000000"/>
          <w:sz w:val="28"/>
          <w:szCs w:val="28"/>
        </w:rPr>
        <w:t>Mục tiêu là vừa đảm bảo kiến thức văn hóa cho học viên, vừa giúp các em có bằng trung cấp nghề khi tốt nghiệp. Trung tâm sẽ tư vấn hướng nghiệp ngay từ đầu năm cho học viên lớp 10, phân loại nhóm học viên có nguy cơ bỏ học để có giải pháp hỗ trợ kịp thời. Song song, đẩy mạnh tuyển sinh các lớp đào tạo nghề ngắn hạn cho thanh niên, lao động nông thôn (nghề nông nghiệp, dịch vụ du lịch, kỹ thuật…) theo chương trình mục tiêu, nhằm vượt qua chỉ tiêu đào tạo ~800 học viên/năm.</w:t>
      </w:r>
    </w:p>
    <w:p w14:paraId="6F40CE24" w14:textId="41E46AC9" w:rsidR="00550765" w:rsidRPr="00550765" w:rsidRDefault="009403ED" w:rsidP="009403ED">
      <w:pPr>
        <w:pStyle w:val="NormalWeb"/>
        <w:spacing w:before="120" w:beforeAutospacing="0" w:after="120" w:afterAutospacing="0" w:line="276" w:lineRule="auto"/>
        <w:ind w:firstLine="720"/>
        <w:jc w:val="both"/>
        <w:rPr>
          <w:color w:val="000000"/>
          <w:sz w:val="28"/>
          <w:szCs w:val="28"/>
        </w:rPr>
      </w:pPr>
      <w:r w:rsidRPr="009403ED">
        <w:rPr>
          <w:b/>
          <w:bCs/>
          <w:color w:val="000000"/>
          <w:sz w:val="28"/>
          <w:szCs w:val="28"/>
        </w:rPr>
        <w:t xml:space="preserve">- </w:t>
      </w:r>
      <w:r w:rsidR="00550765" w:rsidRPr="00550765">
        <w:rPr>
          <w:b/>
          <w:bCs/>
          <w:color w:val="000000"/>
          <w:sz w:val="28"/>
          <w:szCs w:val="28"/>
        </w:rPr>
        <w:t>Phát triển các chương trình ngoại ngữ, tin học:</w:t>
      </w:r>
      <w:r w:rsidR="00550765" w:rsidRPr="00550765">
        <w:rPr>
          <w:color w:val="000000"/>
          <w:sz w:val="28"/>
          <w:szCs w:val="28"/>
        </w:rPr>
        <w:t xml:space="preserve"> Duy trì và mở rộng các lớp ngoại ngữ liên kết với các trường phổ thông (tiếng Anh tăng cường cho học sinh phổ thông), lớp ngoại ngữ tại trung tâm (tiếng Anh giao tiếp, IELTS, tiếng Nhật, tiếng Hàn, tiếng Trung nếu có nhu cầu). Tiếp tục phối hợp các trung tâm ngoại ngữ uy tín để sớm triển khai được lớp luyện thi IELTS – phấn đấu trong 2026 sẽ khai giảng ít nhất 1 lớp IELTS chính thức (trên cơ sở đã có bước chuẩn bị, quảng bá trong 2024–2025 nhưng chưa đủ số lượng mở lớp). Về tin học, Trung tâm đặt mục tiêu tổ chức thi cấp chứng chỉ ứng dụng CNTT cơ bản cho tối thiểu 500 học viên trong năm, đồng thời mở các khóa tin học nâng cao (thiết kế đồ họa, tin học văn phòng nâng cao</w:t>
      </w:r>
      <w:r w:rsidR="00550765" w:rsidRPr="00671986">
        <w:rPr>
          <w:color w:val="000000"/>
          <w:sz w:val="28"/>
          <w:szCs w:val="28"/>
        </w:rPr>
        <w:t>, AI</w:t>
      </w:r>
      <w:r w:rsidR="00550765" w:rsidRPr="00550765">
        <w:rPr>
          <w:color w:val="000000"/>
          <w:sz w:val="28"/>
          <w:szCs w:val="28"/>
        </w:rPr>
        <w:t>) nếu có điều kiện.</w:t>
      </w:r>
    </w:p>
    <w:p w14:paraId="24313C42" w14:textId="4CC91766" w:rsidR="00550765" w:rsidRPr="00550765" w:rsidRDefault="009403ED" w:rsidP="009403ED">
      <w:pPr>
        <w:pStyle w:val="NormalWeb"/>
        <w:spacing w:before="120" w:beforeAutospacing="0" w:after="120" w:afterAutospacing="0" w:line="276" w:lineRule="auto"/>
        <w:ind w:firstLine="720"/>
        <w:jc w:val="both"/>
        <w:rPr>
          <w:color w:val="000000"/>
          <w:sz w:val="28"/>
          <w:szCs w:val="28"/>
        </w:rPr>
      </w:pPr>
      <w:r w:rsidRPr="009403ED">
        <w:rPr>
          <w:b/>
          <w:bCs/>
          <w:color w:val="000000"/>
          <w:sz w:val="28"/>
          <w:szCs w:val="28"/>
        </w:rPr>
        <w:t xml:space="preserve">- </w:t>
      </w:r>
      <w:r w:rsidR="00550765" w:rsidRPr="00550765">
        <w:rPr>
          <w:b/>
          <w:bCs/>
          <w:color w:val="000000"/>
          <w:sz w:val="28"/>
          <w:szCs w:val="28"/>
        </w:rPr>
        <w:t>Củng cố chất lượng giáo dục toàn diện:</w:t>
      </w:r>
      <w:r w:rsidR="00550765" w:rsidRPr="00550765">
        <w:rPr>
          <w:color w:val="000000"/>
          <w:sz w:val="28"/>
          <w:szCs w:val="28"/>
        </w:rPr>
        <w:t xml:space="preserve"> Song song với dạy văn hóa, các hoạt động giáo dục đạo đức, lối sống, kỹ năng sống cho học viên tiếp tục được coi trọng. Trung tâm sẽ xây dựng môi trường học đường lành mạnh, thân thiện; thường xuyên tổ chức hoạt động ngoại khóa về phòng chống bạo lực học đường, </w:t>
      </w:r>
      <w:proofErr w:type="gramStart"/>
      <w:r w:rsidR="00550765" w:rsidRPr="00550765">
        <w:rPr>
          <w:color w:val="000000"/>
          <w:sz w:val="28"/>
          <w:szCs w:val="28"/>
        </w:rPr>
        <w:t>an</w:t>
      </w:r>
      <w:proofErr w:type="gramEnd"/>
      <w:r w:rsidR="00550765" w:rsidRPr="00550765">
        <w:rPr>
          <w:color w:val="000000"/>
          <w:sz w:val="28"/>
          <w:szCs w:val="28"/>
        </w:rPr>
        <w:t xml:space="preserve"> toàn giao thông, phòng chống tệ nạn xã hội… giúp học viên nâng cao hiểu biết và kỹ năng tự bảo vệ. Mạng lưới tư vấn tâm lý, hướng nghiệp cho học viên sẽ được kiện toàn, đảm bảo mỗi học viên đều được định hướng về con đường học tập hoặc việc làm sau khi tốt nghiệp. Đối với lưu học sinh Lào, tiếp tục cải thiện chương trình dạy tiếng Việt và hỗ trợ sinh hoạt, giúp các em nhanh chóng hòa nhập và đạt kết quả cao.</w:t>
      </w:r>
    </w:p>
    <w:p w14:paraId="2AD1B236" w14:textId="05808C49" w:rsidR="007C09DF" w:rsidRPr="009403ED" w:rsidRDefault="007C09DF" w:rsidP="009403ED">
      <w:pPr>
        <w:pStyle w:val="NormalWeb"/>
        <w:spacing w:before="120" w:beforeAutospacing="0" w:after="120" w:afterAutospacing="0" w:line="276" w:lineRule="auto"/>
        <w:ind w:firstLine="720"/>
        <w:jc w:val="both"/>
        <w:outlineLvl w:val="2"/>
        <w:rPr>
          <w:b/>
          <w:bCs/>
          <w:i/>
          <w:iCs/>
          <w:color w:val="000000"/>
          <w:sz w:val="28"/>
          <w:szCs w:val="28"/>
          <w:lang w:val="es-BO"/>
        </w:rPr>
      </w:pPr>
      <w:r w:rsidRPr="009403ED">
        <w:rPr>
          <w:b/>
          <w:bCs/>
          <w:i/>
          <w:iCs/>
          <w:color w:val="000000"/>
          <w:sz w:val="28"/>
          <w:szCs w:val="28"/>
          <w:lang w:val="es-BO"/>
        </w:rPr>
        <w:t>4. Nhiệm vụ xây dựng trường học an toàn, chuyển đổi số, giáo dục toàn diện học sinh</w:t>
      </w:r>
    </w:p>
    <w:p w14:paraId="506F69CA" w14:textId="77777777" w:rsidR="00550765" w:rsidRPr="00550765" w:rsidRDefault="00550765" w:rsidP="009403ED">
      <w:pPr>
        <w:pStyle w:val="NormalWeb"/>
        <w:spacing w:before="120" w:beforeAutospacing="0" w:after="120" w:afterAutospacing="0" w:line="276" w:lineRule="auto"/>
        <w:ind w:firstLine="720"/>
        <w:jc w:val="both"/>
        <w:rPr>
          <w:color w:val="000000"/>
          <w:sz w:val="28"/>
          <w:szCs w:val="28"/>
          <w:lang w:val="es-BO"/>
        </w:rPr>
      </w:pPr>
      <w:r w:rsidRPr="00550765">
        <w:rPr>
          <w:color w:val="000000"/>
          <w:sz w:val="28"/>
          <w:szCs w:val="28"/>
          <w:lang w:val="es-BO"/>
        </w:rPr>
        <w:t>Trung tâm GDNN-GDTX 1 xác định xây dựng trường học an toàn và chuyển đổi số là nhiệm vụ xuyên suốt trong năm 2026. Các giải pháp cụ thể gồm:</w:t>
      </w:r>
    </w:p>
    <w:p w14:paraId="5D3A4AF7" w14:textId="4A618F61" w:rsidR="00550765" w:rsidRPr="00550765" w:rsidRDefault="009403ED" w:rsidP="009403ED">
      <w:pPr>
        <w:pStyle w:val="NormalWeb"/>
        <w:spacing w:before="120" w:beforeAutospacing="0" w:after="120" w:afterAutospacing="0" w:line="276" w:lineRule="auto"/>
        <w:ind w:firstLine="720"/>
        <w:jc w:val="both"/>
        <w:rPr>
          <w:color w:val="000000"/>
          <w:sz w:val="28"/>
          <w:szCs w:val="28"/>
        </w:rPr>
      </w:pPr>
      <w:r w:rsidRPr="009403ED">
        <w:rPr>
          <w:b/>
          <w:bCs/>
          <w:color w:val="000000"/>
          <w:sz w:val="28"/>
          <w:szCs w:val="28"/>
          <w:lang w:val="es-BO"/>
        </w:rPr>
        <w:t xml:space="preserve">- </w:t>
      </w:r>
      <w:r w:rsidR="00550765" w:rsidRPr="00550765">
        <w:rPr>
          <w:b/>
          <w:bCs/>
          <w:color w:val="000000"/>
          <w:sz w:val="28"/>
          <w:szCs w:val="28"/>
          <w:lang w:val="es-BO"/>
        </w:rPr>
        <w:t>Trường học an toàn:</w:t>
      </w:r>
      <w:r w:rsidR="00550765" w:rsidRPr="00550765">
        <w:rPr>
          <w:color w:val="000000"/>
          <w:sz w:val="28"/>
          <w:szCs w:val="28"/>
          <w:lang w:val="es-BO"/>
        </w:rPr>
        <w:t xml:space="preserve"> Đẩy mạnh tuyên truyền, nâng cao ý thức của cán bộ, giáo viên, học viên và phụ huynh về công tác phòng chống bạo lực học đường, đảm </w:t>
      </w:r>
      <w:r w:rsidR="00550765" w:rsidRPr="00550765">
        <w:rPr>
          <w:color w:val="000000"/>
          <w:sz w:val="28"/>
          <w:szCs w:val="28"/>
          <w:lang w:val="es-BO"/>
        </w:rPr>
        <w:lastRenderedPageBreak/>
        <w:t xml:space="preserve">bảo an toàn vệ sinh thực phẩm, phòng chống tai nạn thương tích (đuối nước, cháy nổ…). </w:t>
      </w:r>
      <w:r w:rsidR="00550765" w:rsidRPr="00550765">
        <w:rPr>
          <w:color w:val="000000"/>
          <w:sz w:val="28"/>
          <w:szCs w:val="28"/>
        </w:rPr>
        <w:t>Thiết lập đường dây nóng hoặc hòm thư góp ý để học viên báo cáo kịp thời các vụ việc mất an toàn. Phối hợp với công an địa phương bảo đảm an ninh trật tự khu vực trường học, đặc biệt tại cơ sở nội trú của Trung tâm. Mục tiêu tất cả các cơ sở giáo dục sau sáp nhập đều đạt tiêu chí “Trường học an toàn” ở mức cao.</w:t>
      </w:r>
    </w:p>
    <w:p w14:paraId="205AC4BE" w14:textId="0F2532E3" w:rsidR="00550765" w:rsidRPr="00550765" w:rsidRDefault="009403ED" w:rsidP="009403ED">
      <w:pPr>
        <w:pStyle w:val="NormalWeb"/>
        <w:spacing w:before="120" w:beforeAutospacing="0" w:after="120" w:afterAutospacing="0" w:line="276" w:lineRule="auto"/>
        <w:ind w:firstLine="720"/>
        <w:jc w:val="both"/>
        <w:rPr>
          <w:color w:val="000000"/>
          <w:sz w:val="28"/>
          <w:szCs w:val="28"/>
        </w:rPr>
      </w:pPr>
      <w:r w:rsidRPr="009403ED">
        <w:rPr>
          <w:b/>
          <w:bCs/>
          <w:color w:val="000000"/>
          <w:sz w:val="28"/>
          <w:szCs w:val="28"/>
        </w:rPr>
        <w:t xml:space="preserve">- </w:t>
      </w:r>
      <w:r w:rsidR="00550765" w:rsidRPr="00550765">
        <w:rPr>
          <w:b/>
          <w:bCs/>
          <w:color w:val="000000"/>
          <w:sz w:val="28"/>
          <w:szCs w:val="28"/>
        </w:rPr>
        <w:t>Chuyển đổi số:</w:t>
      </w:r>
      <w:r w:rsidR="00550765" w:rsidRPr="00550765">
        <w:rPr>
          <w:color w:val="000000"/>
          <w:sz w:val="28"/>
          <w:szCs w:val="28"/>
        </w:rPr>
        <w:t xml:space="preserve"> Tiếp tục đầu tư và triển khai toàn diện chính quyền số và lớp học số trong Trung tâm. Phấn đấu năm 2026, 100% lớp học của Trung tâm quản lý bằng sổ điểm điện tử, học bạ điện tử; 100% văn bản hành chính trao đổi dưới dạng điện tử có chữ ký số; ứng dụng triệt để các phần mềm quản lý chuyên môn, tài chính để giảm thủ tục giấy tờ. Tổ chức tập huấn nâng cao kỹ năng số cho tất cả cán bộ, giáo viên (kể cả nhân viên hợp đồng ngắn hạn) để thu hẹp khoảng cách trình độ CNTT giữa các cá nhân. Từng bước xây dựng kho tài nguyên học liệu số dùng chung cho các môn học GDTX, khuyến khích giáo viên phát triển bài giảng e-</w:t>
      </w:r>
      <w:r w:rsidR="00550765" w:rsidRPr="00671986">
        <w:rPr>
          <w:color w:val="000000"/>
          <w:sz w:val="28"/>
          <w:szCs w:val="28"/>
        </w:rPr>
        <w:t>L</w:t>
      </w:r>
      <w:r w:rsidR="00550765" w:rsidRPr="00550765">
        <w:rPr>
          <w:color w:val="000000"/>
          <w:sz w:val="28"/>
          <w:szCs w:val="28"/>
        </w:rPr>
        <w:t>earning, áp dụng phương pháp dạy học trực tuyến kết hợp. Chỉ tiêu phấn đấu: đến cuối 2026, Trung tâm GDNN-GDTX 1 đạt mức “Chuyển đổi số cơ bản” theo tiêu chí của ngành, tạo nền tảng hướng tới giáo dục thông minh trong những năm tiếp theo.</w:t>
      </w:r>
    </w:p>
    <w:p w14:paraId="553A6CC9" w14:textId="12075103" w:rsidR="00550765" w:rsidRPr="00550765" w:rsidRDefault="009403ED" w:rsidP="009403ED">
      <w:pPr>
        <w:pStyle w:val="NormalWeb"/>
        <w:spacing w:before="120" w:beforeAutospacing="0" w:after="120" w:afterAutospacing="0" w:line="276" w:lineRule="auto"/>
        <w:ind w:firstLine="720"/>
        <w:jc w:val="both"/>
        <w:rPr>
          <w:color w:val="000000"/>
          <w:sz w:val="28"/>
          <w:szCs w:val="28"/>
        </w:rPr>
      </w:pPr>
      <w:r w:rsidRPr="009403ED">
        <w:rPr>
          <w:b/>
          <w:bCs/>
          <w:color w:val="000000"/>
          <w:sz w:val="28"/>
          <w:szCs w:val="28"/>
        </w:rPr>
        <w:t xml:space="preserve">- </w:t>
      </w:r>
      <w:r w:rsidR="00550765" w:rsidRPr="00550765">
        <w:rPr>
          <w:b/>
          <w:bCs/>
          <w:color w:val="000000"/>
          <w:sz w:val="28"/>
          <w:szCs w:val="28"/>
        </w:rPr>
        <w:t>Giáo dục toàn diện:</w:t>
      </w:r>
      <w:r w:rsidR="00550765" w:rsidRPr="00550765">
        <w:rPr>
          <w:color w:val="000000"/>
          <w:sz w:val="28"/>
          <w:szCs w:val="28"/>
        </w:rPr>
        <w:t xml:space="preserve"> Triển khai các phong trào thi đua, hoạt động trải nghiệm, văn nghệ thể thao… một cách thiết thực để rèn luyện phẩm chất, kỹ năng cho học viên. Tiếp tục thực hiện tốt việc học tập và làm theo tư tưởng, đạo đức, phong cách Hồ Chí Minh trong nhà trường; xây dựng văn hóa ứng xử lành mạnh, môi trường giáo dục kỷ cương nhưng gần gũi, hỗ trợ học viên phát triển tối đa tiềm năng. Quan tâm bồi dưỡng đội ngũ cán bộ lớp, đoàn viên thanh niên để phát huy vai trò tự quản, tạo sân chơi lành mạnh cho học viên lứa tuổi thanh thiếu niên.</w:t>
      </w:r>
    </w:p>
    <w:p w14:paraId="49AE8F64" w14:textId="77777777" w:rsidR="007C09DF" w:rsidRPr="009403ED" w:rsidRDefault="007C09DF" w:rsidP="009403ED">
      <w:pPr>
        <w:pStyle w:val="Heading2"/>
        <w:ind w:firstLine="720"/>
        <w:rPr>
          <w:rStyle w:val="Strong"/>
          <w:rFonts w:cs="Times New Roman"/>
          <w:b/>
          <w:bCs w:val="0"/>
          <w:szCs w:val="28"/>
          <w:lang w:val="es-BO"/>
        </w:rPr>
      </w:pPr>
      <w:r w:rsidRPr="009403ED">
        <w:rPr>
          <w:rStyle w:val="Strong"/>
          <w:rFonts w:cs="Times New Roman"/>
          <w:b/>
          <w:bCs w:val="0"/>
          <w:szCs w:val="28"/>
          <w:lang w:val="es-BO"/>
        </w:rPr>
        <w:t>II. Nhiệm vụ, giải pháp thực hiện</w:t>
      </w:r>
    </w:p>
    <w:p w14:paraId="4C09F206" w14:textId="77777777" w:rsidR="00550765" w:rsidRPr="00550765" w:rsidRDefault="00550765" w:rsidP="009403ED">
      <w:pPr>
        <w:pStyle w:val="NormalWeb"/>
        <w:spacing w:before="120" w:beforeAutospacing="0" w:after="120" w:afterAutospacing="0" w:line="276" w:lineRule="auto"/>
        <w:ind w:firstLine="720"/>
        <w:jc w:val="both"/>
        <w:rPr>
          <w:color w:val="000000"/>
          <w:sz w:val="28"/>
          <w:szCs w:val="28"/>
          <w:lang w:val="es-BO"/>
        </w:rPr>
      </w:pPr>
      <w:r w:rsidRPr="00550765">
        <w:rPr>
          <w:color w:val="000000"/>
          <w:sz w:val="28"/>
          <w:szCs w:val="28"/>
          <w:lang w:val="es-BO"/>
        </w:rPr>
        <w:t>Để thực hiện thành công kế hoạch 2026 nêu trên, Trung tâm GDNN-GDTX 1 đề ra các giải pháp chủ yếu sau:</w:t>
      </w:r>
    </w:p>
    <w:p w14:paraId="3496B7CE" w14:textId="03A62788" w:rsidR="00550765" w:rsidRPr="00550765" w:rsidRDefault="009403ED" w:rsidP="009403ED">
      <w:pPr>
        <w:pStyle w:val="NormalWeb"/>
        <w:spacing w:before="120" w:beforeAutospacing="0" w:after="120" w:afterAutospacing="0" w:line="276" w:lineRule="auto"/>
        <w:ind w:firstLine="720"/>
        <w:jc w:val="both"/>
        <w:rPr>
          <w:color w:val="000000"/>
          <w:sz w:val="28"/>
          <w:szCs w:val="28"/>
          <w:lang w:val="es-BO"/>
        </w:rPr>
      </w:pPr>
      <w:r w:rsidRPr="009403ED">
        <w:rPr>
          <w:b/>
          <w:bCs/>
          <w:color w:val="000000"/>
          <w:sz w:val="28"/>
          <w:szCs w:val="28"/>
          <w:lang w:val="es-BO"/>
        </w:rPr>
        <w:t xml:space="preserve">- </w:t>
      </w:r>
      <w:r w:rsidR="00550765" w:rsidRPr="00550765">
        <w:rPr>
          <w:b/>
          <w:bCs/>
          <w:color w:val="000000"/>
          <w:sz w:val="28"/>
          <w:szCs w:val="28"/>
          <w:lang w:val="es-BO"/>
        </w:rPr>
        <w:t>Phát triển chương trình đào tạo phù hợp nhu cầu:</w:t>
      </w:r>
      <w:r w:rsidR="00550765" w:rsidRPr="00550765">
        <w:rPr>
          <w:color w:val="000000"/>
          <w:sz w:val="28"/>
          <w:szCs w:val="28"/>
          <w:lang w:val="es-BO"/>
        </w:rPr>
        <w:t xml:space="preserve"> Chủ động xây dựng và triển khai các chương trình giáo dục nghề nghiệp và GDTX linh hoạt, đa dạng phù hợp với nhu cầu người học và thị trường lao động. Bao gồm các chương trình ngắn hạn theo đơn đặt hàng của doanh nghiệp, các lớp bồi dưỡng nâng cao kỹ năng cho người lao động địa phương, bên cạnh chương trình GDTX cấp THPT chính quy. Đa dạng hóa phương thức học (chính khóa, trực tuyến, học từ xa) để mọi người dân đều có thể tiếp cận học tập suốt đời.</w:t>
      </w:r>
    </w:p>
    <w:p w14:paraId="15163BB2" w14:textId="288AB8B1" w:rsidR="00550765" w:rsidRPr="00550765" w:rsidRDefault="009403ED" w:rsidP="009403ED">
      <w:pPr>
        <w:pStyle w:val="NormalWeb"/>
        <w:spacing w:before="120" w:beforeAutospacing="0" w:after="120" w:afterAutospacing="0" w:line="276" w:lineRule="auto"/>
        <w:ind w:firstLine="720"/>
        <w:jc w:val="both"/>
        <w:rPr>
          <w:color w:val="000000"/>
          <w:sz w:val="28"/>
          <w:szCs w:val="28"/>
        </w:rPr>
      </w:pPr>
      <w:r w:rsidRPr="009403ED">
        <w:rPr>
          <w:b/>
          <w:bCs/>
          <w:color w:val="000000"/>
          <w:sz w:val="28"/>
          <w:szCs w:val="28"/>
          <w:lang w:val="es-BO"/>
        </w:rPr>
        <w:t xml:space="preserve">- </w:t>
      </w:r>
      <w:r w:rsidR="00550765" w:rsidRPr="00550765">
        <w:rPr>
          <w:b/>
          <w:bCs/>
          <w:color w:val="000000"/>
          <w:sz w:val="28"/>
          <w:szCs w:val="28"/>
          <w:lang w:val="es-BO"/>
        </w:rPr>
        <w:t>Đổi mới phương pháp dạy học và kiểm tra đánh giá:</w:t>
      </w:r>
      <w:r w:rsidR="00550765" w:rsidRPr="00550765">
        <w:rPr>
          <w:color w:val="000000"/>
          <w:sz w:val="28"/>
          <w:szCs w:val="28"/>
          <w:lang w:val="es-BO"/>
        </w:rPr>
        <w:t xml:space="preserve"> Tiếp tục lấy người học làm trung tâm, tăng cường phương pháp dạy học tích cực, gắn lý thuyết với thực tiễn, gắn học với hành. </w:t>
      </w:r>
      <w:r w:rsidR="00550765" w:rsidRPr="00550765">
        <w:rPr>
          <w:color w:val="000000"/>
          <w:sz w:val="28"/>
          <w:szCs w:val="28"/>
        </w:rPr>
        <w:t xml:space="preserve">Khuyến khích giáo viên áp dụng các kỹ thuật dạy học hiện đại, sử dụng hiệu quả thiết bị, đồ dùng trực quan để nâng cao hứng thú học tập cho </w:t>
      </w:r>
      <w:r w:rsidR="00550765" w:rsidRPr="00550765">
        <w:rPr>
          <w:color w:val="000000"/>
          <w:sz w:val="28"/>
          <w:szCs w:val="28"/>
        </w:rPr>
        <w:lastRenderedPageBreak/>
        <w:t>học viên. Thường xuyên tổ chức kiểm tra, đánh giá thực chất, khách quan chất lượng dạy và học; qua đó kịp thời điều chỉnh phương pháp giảng dạy, nội dung ôn tập cho phù hợp.</w:t>
      </w:r>
    </w:p>
    <w:p w14:paraId="10FCD7AF" w14:textId="55040A09" w:rsidR="00550765" w:rsidRPr="00550765" w:rsidRDefault="009403ED" w:rsidP="009403ED">
      <w:pPr>
        <w:pStyle w:val="NormalWeb"/>
        <w:spacing w:before="120" w:beforeAutospacing="0" w:after="120" w:afterAutospacing="0" w:line="276" w:lineRule="auto"/>
        <w:ind w:firstLine="720"/>
        <w:jc w:val="both"/>
        <w:rPr>
          <w:color w:val="000000"/>
          <w:sz w:val="28"/>
          <w:szCs w:val="28"/>
        </w:rPr>
      </w:pPr>
      <w:r w:rsidRPr="009403ED">
        <w:rPr>
          <w:b/>
          <w:bCs/>
          <w:color w:val="000000"/>
          <w:sz w:val="28"/>
          <w:szCs w:val="28"/>
        </w:rPr>
        <w:t xml:space="preserve">- </w:t>
      </w:r>
      <w:r w:rsidR="00550765" w:rsidRPr="00550765">
        <w:rPr>
          <w:b/>
          <w:bCs/>
          <w:color w:val="000000"/>
          <w:sz w:val="28"/>
          <w:szCs w:val="28"/>
        </w:rPr>
        <w:t>Đầu tư đội ngũ và môi trường làm việc:</w:t>
      </w:r>
      <w:r w:rsidR="00550765" w:rsidRPr="00550765">
        <w:rPr>
          <w:color w:val="000000"/>
          <w:sz w:val="28"/>
          <w:szCs w:val="28"/>
        </w:rPr>
        <w:t xml:space="preserve"> Xây dựng môi trường làm việc chuyên nghiệp, thân thiện, tạo điều kiện tốt nhất để cán bộ, giáo viên, nhân viên yên tâm công tác và gắn bó lâu dài với Trung tâm. Thực hiện đầy đủ, kịp thời các chế độ, chính sách cho nhà giáo; động viên, khen thưởng kịp thời những tập thể, cá nhân có thành tích trong đổi mới, sáng tạo. Song song, tăng cường kỷ luật lao động, nâng cao tinh thần trách nhiệm và ý thức tự học hỏi trong đội ngũ – xem đây là yếu tố then chốt đảm bảo chất lượng giáo dục.</w:t>
      </w:r>
    </w:p>
    <w:p w14:paraId="4EEB1B02" w14:textId="7398D7A1" w:rsidR="00550765" w:rsidRPr="00550765" w:rsidRDefault="009403ED" w:rsidP="009403ED">
      <w:pPr>
        <w:pStyle w:val="NormalWeb"/>
        <w:spacing w:before="120" w:beforeAutospacing="0" w:after="120" w:afterAutospacing="0" w:line="276" w:lineRule="auto"/>
        <w:ind w:firstLine="720"/>
        <w:jc w:val="both"/>
        <w:rPr>
          <w:color w:val="000000"/>
          <w:sz w:val="28"/>
          <w:szCs w:val="28"/>
        </w:rPr>
      </w:pPr>
      <w:r w:rsidRPr="009403ED">
        <w:rPr>
          <w:b/>
          <w:bCs/>
          <w:color w:val="000000"/>
          <w:sz w:val="28"/>
          <w:szCs w:val="28"/>
        </w:rPr>
        <w:t xml:space="preserve">- </w:t>
      </w:r>
      <w:r w:rsidR="00550765" w:rsidRPr="00550765">
        <w:rPr>
          <w:b/>
          <w:bCs/>
          <w:color w:val="000000"/>
          <w:sz w:val="28"/>
          <w:szCs w:val="28"/>
        </w:rPr>
        <w:t>Tăng cường kiểm tra, giám sát:</w:t>
      </w:r>
      <w:r w:rsidR="00550765" w:rsidRPr="00550765">
        <w:rPr>
          <w:color w:val="000000"/>
          <w:sz w:val="28"/>
          <w:szCs w:val="28"/>
        </w:rPr>
        <w:t xml:space="preserve"> Ban Giám đốc Trung tâm và các </w:t>
      </w:r>
      <w:r w:rsidR="00671986">
        <w:rPr>
          <w:color w:val="000000"/>
          <w:sz w:val="28"/>
          <w:szCs w:val="28"/>
        </w:rPr>
        <w:t>Tổ</w:t>
      </w:r>
      <w:r w:rsidR="00550765" w:rsidRPr="00550765">
        <w:rPr>
          <w:color w:val="000000"/>
          <w:sz w:val="28"/>
          <w:szCs w:val="28"/>
        </w:rPr>
        <w:t xml:space="preserve"> chức năng sẽ đẩy mạnh công tác kiểm tra nội bộ đối với việc thực hiện nhiệm vụ của các bộ phận, giáo viên. Lịch kiểm tra chuyên môn, dự giờ, kiểm tra hồ sơ sẽ được thực hiện thường xuyên, qua đó chấn chỉnh kịp thời sai sót và đảm bảo mọi hoạt động theo đúng kế hoạch, tiến độ. Ngoài ra, Trung tâm thực hiện nghiêm túc chế độ báo cáo, đánh giá định kỳ theo hướng dẫn của Sở GD&amp;ĐT, để kịp thời phản ánh kết quả và khó khăn, xin ý kiến chỉ đạo giải quyết.</w:t>
      </w:r>
    </w:p>
    <w:p w14:paraId="2C77EBAD" w14:textId="01F18948" w:rsidR="00550765" w:rsidRPr="00550765" w:rsidRDefault="009403ED" w:rsidP="009403ED">
      <w:pPr>
        <w:pStyle w:val="NormalWeb"/>
        <w:spacing w:before="120" w:beforeAutospacing="0" w:after="120" w:afterAutospacing="0" w:line="276" w:lineRule="auto"/>
        <w:ind w:firstLine="720"/>
        <w:jc w:val="both"/>
        <w:rPr>
          <w:color w:val="000000"/>
          <w:sz w:val="28"/>
          <w:szCs w:val="28"/>
        </w:rPr>
      </w:pPr>
      <w:r w:rsidRPr="009403ED">
        <w:rPr>
          <w:b/>
          <w:bCs/>
          <w:color w:val="000000"/>
          <w:sz w:val="28"/>
          <w:szCs w:val="28"/>
        </w:rPr>
        <w:t xml:space="preserve">- </w:t>
      </w:r>
      <w:r w:rsidR="00550765" w:rsidRPr="00550765">
        <w:rPr>
          <w:b/>
          <w:bCs/>
          <w:color w:val="000000"/>
          <w:sz w:val="28"/>
          <w:szCs w:val="28"/>
        </w:rPr>
        <w:t>Đẩy mạnh truyền thông, huy động cộng đồng:</w:t>
      </w:r>
      <w:r w:rsidR="00550765" w:rsidRPr="00550765">
        <w:rPr>
          <w:color w:val="000000"/>
          <w:sz w:val="28"/>
          <w:szCs w:val="28"/>
        </w:rPr>
        <w:t xml:space="preserve"> Chủ động quảng bá hình ảnh và hoạt động của Trung tâm đến cộng đồng để thu hút người học. Tăng cường phối hợp với chính quyền địa phương, các ban ngành, đoàn thể (Đoàn thanh niên, Hội khuyến học…) trong việc vận động thanh niên, người lao động tham gia các lớp học văn hóa, học nghề. Tích cực tham mưu với UBND tỉnh, Sở GD&amp;ĐT để ban hành các chính sách hỗ trợ người học GDTX (ví dụ: đề xuất miễn giảm học phí GDTX, hỗ trợ học bổng cho học viên hoàn cảnh khó khăn, hỗ trợ kinh phí đào tạo nghề…) nhằm tăng sức hấp dẫn của hệ thống giáo dục thường xuyên.</w:t>
      </w:r>
    </w:p>
    <w:p w14:paraId="0F991E6C" w14:textId="00D70BC9" w:rsidR="00550765" w:rsidRPr="00550765" w:rsidRDefault="00550765" w:rsidP="009403ED">
      <w:pPr>
        <w:pStyle w:val="NormalWeb"/>
        <w:spacing w:before="120" w:beforeAutospacing="0" w:after="120" w:afterAutospacing="0" w:line="276" w:lineRule="auto"/>
        <w:ind w:firstLine="720"/>
        <w:jc w:val="both"/>
        <w:rPr>
          <w:color w:val="000000"/>
          <w:sz w:val="28"/>
          <w:szCs w:val="28"/>
        </w:rPr>
      </w:pPr>
      <w:r w:rsidRPr="00550765">
        <w:rPr>
          <w:color w:val="000000"/>
          <w:sz w:val="28"/>
          <w:szCs w:val="28"/>
        </w:rPr>
        <w:t xml:space="preserve">Với những nhiệm vụ và giải pháp nêu trên, Trung tâm GDNN-GDTX 1 quyết tâm thực hiện thắng lợi Kế hoạch phát triển giáo dục </w:t>
      </w:r>
      <w:r w:rsidRPr="009403ED">
        <w:rPr>
          <w:color w:val="000000"/>
          <w:sz w:val="28"/>
          <w:szCs w:val="28"/>
        </w:rPr>
        <w:t>-</w:t>
      </w:r>
      <w:r w:rsidRPr="00550765">
        <w:rPr>
          <w:color w:val="000000"/>
          <w:sz w:val="28"/>
          <w:szCs w:val="28"/>
        </w:rPr>
        <w:t xml:space="preserve"> đào tạo năm 2026, góp phần vào mục tiêu phát triển kinh tế </w:t>
      </w:r>
      <w:r w:rsidRPr="009403ED">
        <w:rPr>
          <w:color w:val="000000"/>
          <w:sz w:val="28"/>
          <w:szCs w:val="28"/>
        </w:rPr>
        <w:t>-</w:t>
      </w:r>
      <w:r w:rsidRPr="00550765">
        <w:rPr>
          <w:color w:val="000000"/>
          <w:sz w:val="28"/>
          <w:szCs w:val="28"/>
        </w:rPr>
        <w:t xml:space="preserve"> xã hội của tỉnh </w:t>
      </w:r>
      <w:r w:rsidRPr="009403ED">
        <w:rPr>
          <w:color w:val="000000"/>
          <w:sz w:val="28"/>
          <w:szCs w:val="28"/>
        </w:rPr>
        <w:t>Điện Biên</w:t>
      </w:r>
      <w:r w:rsidRPr="00550765">
        <w:rPr>
          <w:color w:val="000000"/>
          <w:sz w:val="28"/>
          <w:szCs w:val="28"/>
        </w:rPr>
        <w:t>.</w:t>
      </w:r>
    </w:p>
    <w:p w14:paraId="48BFDDFF" w14:textId="039230B0" w:rsidR="007C09DF" w:rsidRPr="009403ED" w:rsidRDefault="007C09DF" w:rsidP="009403ED">
      <w:pPr>
        <w:pStyle w:val="Heading1"/>
        <w:ind w:firstLine="720"/>
        <w:jc w:val="both"/>
        <w:rPr>
          <w:rStyle w:val="Strong"/>
          <w:rFonts w:cs="Times New Roman"/>
          <w:b/>
          <w:bCs w:val="0"/>
          <w:szCs w:val="28"/>
          <w:lang w:val="es-BO"/>
        </w:rPr>
      </w:pPr>
      <w:r w:rsidRPr="00671986">
        <w:rPr>
          <w:rStyle w:val="Strong"/>
          <w:rFonts w:cs="Times New Roman"/>
          <w:b/>
          <w:bCs w:val="0"/>
          <w:szCs w:val="28"/>
          <w:lang w:val="es-BO"/>
        </w:rPr>
        <w:t>D. XÂY DỰNG DỰ TOÁN NSNN NĂM 2026, KẾ HOẠCH TÀI CHÍNH -NSNN 3 NĂM 2026- 2028 LĨNH VỰC GIÁO DỤC VÀ ĐÀO TẠO</w:t>
      </w:r>
    </w:p>
    <w:p w14:paraId="03B46458" w14:textId="77777777" w:rsidR="007C09DF" w:rsidRPr="009403ED" w:rsidRDefault="007C09DF" w:rsidP="009403ED">
      <w:pPr>
        <w:pStyle w:val="Heading2"/>
        <w:ind w:firstLine="720"/>
        <w:rPr>
          <w:rStyle w:val="Strong"/>
          <w:rFonts w:cs="Times New Roman"/>
          <w:b/>
          <w:bCs w:val="0"/>
          <w:szCs w:val="28"/>
          <w:lang w:val="es-BO"/>
        </w:rPr>
      </w:pPr>
      <w:r w:rsidRPr="009403ED">
        <w:rPr>
          <w:rStyle w:val="Strong"/>
          <w:rFonts w:cs="Times New Roman"/>
          <w:b/>
          <w:bCs w:val="0"/>
          <w:szCs w:val="28"/>
          <w:lang w:val="es-BO"/>
        </w:rPr>
        <w:t>I. Đánh giá tình hình thực hiện nhiệm vụ ngân sách nhà nước năm 2024, và 3 năm 2022-2024 lĩnh vực giáo dục và đào tạo</w:t>
      </w:r>
    </w:p>
    <w:p w14:paraId="7DF66A06" w14:textId="1E4CCF19" w:rsidR="00302E35" w:rsidRPr="009403ED" w:rsidRDefault="00302E35" w:rsidP="009403ED">
      <w:pPr>
        <w:widowControl w:val="0"/>
        <w:spacing w:before="120" w:after="120"/>
        <w:ind w:firstLine="720"/>
        <w:jc w:val="both"/>
        <w:rPr>
          <w:rFonts w:ascii="Times New Roman" w:hAnsi="Times New Roman" w:cs="Times New Roman"/>
          <w:color w:val="000000"/>
          <w:sz w:val="28"/>
          <w:szCs w:val="28"/>
          <w:lang w:val="es-BO"/>
        </w:rPr>
      </w:pPr>
      <w:r w:rsidRPr="009403ED">
        <w:rPr>
          <w:rFonts w:ascii="Times New Roman" w:hAnsi="Times New Roman" w:cs="Times New Roman"/>
          <w:color w:val="000000"/>
          <w:sz w:val="28"/>
          <w:szCs w:val="28"/>
          <w:lang w:val="es-BO"/>
        </w:rPr>
        <w:t>Giai đoạn 2022</w:t>
      </w:r>
      <w:r w:rsidR="009403ED">
        <w:rPr>
          <w:rFonts w:ascii="Times New Roman" w:hAnsi="Times New Roman" w:cs="Times New Roman"/>
          <w:color w:val="000000"/>
          <w:sz w:val="28"/>
          <w:szCs w:val="28"/>
          <w:lang w:val="es-BO"/>
        </w:rPr>
        <w:t>-</w:t>
      </w:r>
      <w:r w:rsidRPr="009403ED">
        <w:rPr>
          <w:rFonts w:ascii="Times New Roman" w:hAnsi="Times New Roman" w:cs="Times New Roman"/>
          <w:color w:val="000000"/>
          <w:sz w:val="28"/>
          <w:szCs w:val="28"/>
          <w:lang w:val="es-BO"/>
        </w:rPr>
        <w:t xml:space="preserve">2024, ngân sách nhà nước đã đảm bảo tương đối đầy đủ kinh phí cho lĩnh vực giáo dục thường xuyên, giúp các trung tâm hoàn thành nhiệm vụ được giao. Hàng năm, dự toán chi thường xuyên giao đều được thực hiện đạt 100% (hoặc xấp xỉ 100%) vào cuối năm. Năm 2024, tổng kinh phí chi thường xuyên của 4 trung tâm (trước sáp nhập) ước khoảng 13 tỷ đồng, trong đó Trung tâm GDTX tỉnh: </w:t>
      </w:r>
      <w:r w:rsidRPr="009403ED">
        <w:rPr>
          <w:rFonts w:ascii="Times New Roman" w:hAnsi="Times New Roman" w:cs="Times New Roman"/>
          <w:color w:val="000000"/>
          <w:sz w:val="28"/>
          <w:szCs w:val="28"/>
          <w:lang w:val="es-BO"/>
        </w:rPr>
        <w:lastRenderedPageBreak/>
        <w:t>4,989 tỷ đồng (đạt 100% dự toán); Trung tâm GDNN-GDTX huyện Điện Biên ~4,0 tỷ; Trung tâm GDNN-GDTX Điện Biên Đông ~1,0 tỷ; Trung tâm Ngoại ngữ – Tin học ~3,0 tỷ. Lũy kế chi ngân sách 3 năm 2022–2024 ước đạt trên 30 tỷ đồng cho toàn lĩnh vực GDTX, GDNN-GDTX. Kinh phí này chủ yếu sử dụng cho chi lương, phụ cấp, các chính sách cho học viên (hỗ trợ học bổng, miễn giảm học phí), hoạt động chuyên môn và duy trì cơ sở vật chất. Việc điều chỉnh chính sách tiền lương (theo lộ trình tăng lương cơ sở) và các chế độ cho giáo viên, học sinh đều được thực hiện nghiêm túc, đảm bảo đúng quy định tài chính. Các trung tâm đã quản lý, sử dụng kinh phí tiết kiệm, hiệu quả, không để xảy ra thất thoát, lãng phí. Tuy nhiên, do nguồn ngân sách hạn hẹp, kinh phí đầu tư phát triển hầu như không có, việc sửa chữa lớn hay mua sắm thiết bị chủ yếu trông chờ vào các dự án mục tiêu (giai đoạn 2022–2024 chưa có dự án nào đáng kể cho lĩnh vực GDTX). Tóm lại, trong giai đoạn vừa qua, nhiệm vụ chi ngân sách nhà nước cho giáo dục thường xuyên được đảm bảo ở mức duy trì hoạt động, song chưa đáp ứng nhu cầu phát triển (chưa có khoản chi đầu tư nâng cấp cơ sở vật chất nào đáng kể). Đây là lý do Trung tâm sẽ đề xuất tăng cường đầu tư trong kế hoạch ngân sách những năm tới.</w:t>
      </w:r>
    </w:p>
    <w:p w14:paraId="3A7A3C3E" w14:textId="77777777" w:rsidR="007C09DF" w:rsidRPr="009403ED" w:rsidRDefault="007C09DF" w:rsidP="009403ED">
      <w:pPr>
        <w:pStyle w:val="NormalWeb"/>
        <w:spacing w:before="120" w:beforeAutospacing="0" w:after="120" w:afterAutospacing="0" w:line="276" w:lineRule="auto"/>
        <w:ind w:firstLine="720"/>
        <w:jc w:val="both"/>
        <w:outlineLvl w:val="2"/>
        <w:rPr>
          <w:b/>
          <w:bCs/>
          <w:i/>
          <w:iCs/>
          <w:color w:val="000000"/>
          <w:sz w:val="28"/>
          <w:szCs w:val="28"/>
          <w:lang w:val="es-BO"/>
        </w:rPr>
      </w:pPr>
      <w:r w:rsidRPr="009403ED">
        <w:rPr>
          <w:b/>
          <w:bCs/>
          <w:i/>
          <w:iCs/>
          <w:color w:val="000000"/>
          <w:sz w:val="28"/>
          <w:szCs w:val="28"/>
          <w:lang w:val="es-BO"/>
        </w:rPr>
        <w:t>1. Đánh giá thực hiện dự toán thu năm 2025 và 3 năm 2025-2027 lĩnh vực giáo dục và đào tạo</w:t>
      </w:r>
    </w:p>
    <w:p w14:paraId="6207CF04" w14:textId="2EE1EE54" w:rsidR="00302E35" w:rsidRPr="009403ED" w:rsidRDefault="00302E35" w:rsidP="009403ED">
      <w:pPr>
        <w:widowControl w:val="0"/>
        <w:spacing w:before="120" w:after="120"/>
        <w:ind w:firstLine="720"/>
        <w:jc w:val="both"/>
        <w:rPr>
          <w:rFonts w:ascii="Times New Roman" w:hAnsi="Times New Roman" w:cs="Times New Roman"/>
          <w:color w:val="000000"/>
          <w:sz w:val="28"/>
          <w:szCs w:val="28"/>
          <w:lang w:val="es-BO"/>
        </w:rPr>
      </w:pPr>
      <w:r w:rsidRPr="009403ED">
        <w:rPr>
          <w:rFonts w:ascii="Times New Roman" w:hAnsi="Times New Roman" w:cs="Times New Roman"/>
          <w:color w:val="000000"/>
          <w:sz w:val="28"/>
          <w:szCs w:val="28"/>
          <w:lang w:val="es-BO"/>
        </w:rPr>
        <w:t>Các trung tâm giáo dục thường xuyên công lập hầu như không có nguồn thu sự nghiệp đáng kể. Chương trình GDTX cấp THPT không thu học phí (đối tượng học viên được miễn học phí theo Nghị định 81/2021/NĐ-CP), hoặc có thu thì nộp ngân sách theo quy định, nên coi như không tạo nguồn thu cho đơn vị. Trung tâm GDNN-GDTX huyện Điện Biên và Điện Biên Đông không có khoản thu dịch vụ nào (báo cáo: “không thu” trong các năm). Riêng Trung tâm Ngoại ngữ – Tin học có thu học phí các lớp ngoại ngữ, tin học và lệ phí thi chứng chỉ, nhưng do thực hiện cơ chế tự chủ tài chính một phần nên nguồn thu này được sử dụng để trang trải chi hoạt động của đơn vị, không hình thành nguồn thu nộp ngân sách nhà nước. Bình quân mỗi năm giai đoạn 2021–2025, Trung tâm NN-TH thu khoảng 1–1,5 tỷ đồng học phí, nhưng số thu này biến động tùy thuộc tình hình tuyển sinh (năm 2024–2025 tăng cao nhờ mở nhiều lớp). Tóm lại, nguồn thu ngoài NSNN của Trung tâm GDNN-GDTX 1 rất hạn chế, chiếm tỷ trọng nhỏ so với tổng kinh phí hoạt động. Do vậy, Trung tâm phụ thuộc chủ yếu vào ngân sách nhà nước cấp.</w:t>
      </w:r>
    </w:p>
    <w:p w14:paraId="7E65D9CE" w14:textId="77777777" w:rsidR="007C09DF" w:rsidRPr="009403ED" w:rsidRDefault="007C09DF" w:rsidP="009403ED">
      <w:pPr>
        <w:pStyle w:val="NormalWeb"/>
        <w:spacing w:before="120" w:beforeAutospacing="0" w:after="120" w:afterAutospacing="0" w:line="276" w:lineRule="auto"/>
        <w:ind w:firstLine="720"/>
        <w:jc w:val="both"/>
        <w:outlineLvl w:val="2"/>
        <w:rPr>
          <w:b/>
          <w:bCs/>
          <w:i/>
          <w:iCs/>
          <w:color w:val="000000"/>
          <w:sz w:val="28"/>
          <w:szCs w:val="28"/>
          <w:lang w:val="es-BO"/>
        </w:rPr>
      </w:pPr>
      <w:r w:rsidRPr="009403ED">
        <w:rPr>
          <w:b/>
          <w:bCs/>
          <w:i/>
          <w:iCs/>
          <w:color w:val="000000"/>
          <w:sz w:val="28"/>
          <w:szCs w:val="28"/>
          <w:lang w:val="es-BO"/>
        </w:rPr>
        <w:t>2. Đánh giá tình hình thực hiện dự toán chi ngân sách nhà nước năm 2025, và 3 năm 2025-2027 lĩnh vực giáo dục và đào tạo</w:t>
      </w:r>
    </w:p>
    <w:p w14:paraId="4601811F" w14:textId="2BCFF91D" w:rsidR="006F63EB" w:rsidRPr="009403ED" w:rsidRDefault="00302E35" w:rsidP="009403ED">
      <w:pPr>
        <w:widowControl w:val="0"/>
        <w:spacing w:before="120" w:after="120"/>
        <w:ind w:firstLine="720"/>
        <w:jc w:val="both"/>
        <w:rPr>
          <w:rFonts w:ascii="Times New Roman" w:hAnsi="Times New Roman" w:cs="Times New Roman"/>
          <w:color w:val="000000"/>
          <w:sz w:val="28"/>
          <w:szCs w:val="28"/>
          <w:lang w:val="es-BO"/>
        </w:rPr>
      </w:pPr>
      <w:r w:rsidRPr="009403ED">
        <w:rPr>
          <w:rFonts w:ascii="Times New Roman" w:hAnsi="Times New Roman" w:cs="Times New Roman"/>
          <w:color w:val="000000"/>
          <w:sz w:val="28"/>
          <w:szCs w:val="28"/>
          <w:lang w:val="es-BO"/>
        </w:rPr>
        <w:t xml:space="preserve">Năm 2025 là năm chuyển giao sáp nhập, tổng dự toán chi NSNN cả năm của các đơn vị hợp thành Trung tâm GDNN-GDTX 1 khoảng 16–17 tỷ đồng, tăng so với năm 2024. Trong đó, dự toán chi năm 2025 của Trung tâm GDTX tỉnh (cũ) là 7,950 triệu đồng (7,95 tỷ); Trung tâm GDNN-GDTX huyện Điện Biên: 4,087 tỷ đồng; </w:t>
      </w:r>
      <w:r w:rsidRPr="009403ED">
        <w:rPr>
          <w:rFonts w:ascii="Times New Roman" w:hAnsi="Times New Roman" w:cs="Times New Roman"/>
          <w:color w:val="000000"/>
          <w:sz w:val="28"/>
          <w:szCs w:val="28"/>
          <w:lang w:val="es-BO"/>
        </w:rPr>
        <w:lastRenderedPageBreak/>
        <w:t xml:space="preserve">Trung tâm GDNN-GDTX huyện Điện Biên Đông: ~1,5 tỷ đồng (ước tính tương đương trung tâm huyện Điện Biên); Trung tâm Ngoại ngữ – Tin học: ~3,3 tỷ đồng (73% do NSNN cấp, 27% từ nguồn thu tự bảo đảm). Đến hết tháng 6/2025, các khoản chi thường xuyên đã thực hiện khoảng 50% dự toán cả năm, ước thực hiện cả năm đạt 100% kế hoạch. Tổng chi NSNN giai đoạn 2025–2027 dự kiến khoảng </w:t>
      </w:r>
      <w:r w:rsidRPr="009403ED">
        <w:rPr>
          <w:rFonts w:ascii="Times New Roman" w:hAnsi="Times New Roman" w:cs="Times New Roman"/>
          <w:i/>
          <w:iCs/>
          <w:color w:val="000000"/>
          <w:sz w:val="28"/>
          <w:szCs w:val="28"/>
          <w:lang w:val="es-BO"/>
        </w:rPr>
        <w:t>50 tỷ đồng</w:t>
      </w:r>
      <w:r w:rsidRPr="009403ED">
        <w:rPr>
          <w:rFonts w:ascii="Times New Roman" w:hAnsi="Times New Roman" w:cs="Times New Roman"/>
          <w:color w:val="000000"/>
          <w:sz w:val="28"/>
          <w:szCs w:val="28"/>
          <w:lang w:val="es-BO"/>
        </w:rPr>
        <w:t xml:space="preserve"> cho Trung tâm GDNN-GDTX 1 (riêng Trung tâm huyện Điện Biên cũ dự toán 3 năm 2025–2027 là 13,758 tỷ đồng). Trong cơ cấu chi, chi thường xuyên chiếm trên 98%, chi đầu tư phát triển gần như không có (không có dự án đầu tư nào được phê duyệt trong 2025–2027, chỉ trông chờ nguồn từ các chương trình mục tiêu quốc gia nếu có phân bổ). Nhìn chung, kinh phí chi thường xuyên năm 2025–2027 được phân bổ đủ để chi trả lương, phụ cấp, các chế độ chính sách cho người học và người dạy, cũng như các chi phí hoạt động thường xuyên (điện nước, văn phòng phẩm, sửa chữa nhỏ). Tuy vậy, mức kinh phí này chưa tính đến các nhu cầu chi bổ sung cho nhiệm vụ mới phát sinh sau sáp nhập (ví dụ: kinh phí vận chuyển, sắp xếp lại cơ sở, kinh phí đào tạo bồi dưỡng giáo viên cho chương trình mới…). Do đó, Trung tâm đã cân đối trong nội bộ và kiến nghị cấp trên hỗ trợ thêm nếu có thể.</w:t>
      </w:r>
    </w:p>
    <w:p w14:paraId="2461B863" w14:textId="77777777" w:rsidR="007C09DF" w:rsidRPr="009403ED" w:rsidRDefault="007C09DF" w:rsidP="009403ED">
      <w:pPr>
        <w:pStyle w:val="Heading2"/>
        <w:ind w:firstLine="720"/>
        <w:rPr>
          <w:rStyle w:val="Strong"/>
          <w:rFonts w:ascii="Times New Roman Bold" w:hAnsi="Times New Roman Bold" w:cs="Times New Roman"/>
          <w:b/>
          <w:bCs w:val="0"/>
          <w:spacing w:val="-6"/>
          <w:szCs w:val="28"/>
          <w:lang w:val="es-BO"/>
        </w:rPr>
      </w:pPr>
      <w:r w:rsidRPr="009403ED">
        <w:rPr>
          <w:rStyle w:val="Strong"/>
          <w:rFonts w:ascii="Times New Roman Bold" w:hAnsi="Times New Roman Bold" w:cs="Times New Roman"/>
          <w:b/>
          <w:bCs w:val="0"/>
          <w:spacing w:val="-6"/>
          <w:szCs w:val="28"/>
          <w:lang w:val="es-BO"/>
        </w:rPr>
        <w:t>II. Xây dựng dự toán NSNN năm 2026, Kế hoạch tài chính 3 năm 2026-2028</w:t>
      </w:r>
    </w:p>
    <w:p w14:paraId="53EB6DE1" w14:textId="77777777" w:rsidR="007C09DF" w:rsidRPr="009403ED" w:rsidRDefault="007C09DF" w:rsidP="009403ED">
      <w:pPr>
        <w:pStyle w:val="NormalWeb"/>
        <w:spacing w:before="120" w:beforeAutospacing="0" w:after="120" w:afterAutospacing="0" w:line="276" w:lineRule="auto"/>
        <w:ind w:firstLine="720"/>
        <w:jc w:val="both"/>
        <w:outlineLvl w:val="2"/>
        <w:rPr>
          <w:b/>
          <w:bCs/>
          <w:i/>
          <w:iCs/>
          <w:color w:val="000000"/>
          <w:sz w:val="28"/>
          <w:szCs w:val="28"/>
          <w:lang w:val="es-BO"/>
        </w:rPr>
      </w:pPr>
      <w:r w:rsidRPr="009403ED">
        <w:rPr>
          <w:b/>
          <w:bCs/>
          <w:i/>
          <w:iCs/>
          <w:color w:val="000000"/>
          <w:sz w:val="28"/>
          <w:szCs w:val="28"/>
          <w:lang w:val="es-BO"/>
        </w:rPr>
        <w:t>1. Xây dựng dự toán thu</w:t>
      </w:r>
    </w:p>
    <w:p w14:paraId="5916411F" w14:textId="758472C4" w:rsidR="006F63EB" w:rsidRPr="009403ED" w:rsidRDefault="00302E35" w:rsidP="009403ED">
      <w:pPr>
        <w:widowControl w:val="0"/>
        <w:spacing w:before="120" w:after="120"/>
        <w:ind w:firstLine="720"/>
        <w:jc w:val="both"/>
        <w:rPr>
          <w:rFonts w:ascii="Times New Roman" w:hAnsi="Times New Roman" w:cs="Times New Roman"/>
          <w:color w:val="000000"/>
          <w:sz w:val="28"/>
          <w:szCs w:val="28"/>
          <w:lang w:val="es-BO"/>
        </w:rPr>
      </w:pPr>
      <w:r w:rsidRPr="009403ED">
        <w:rPr>
          <w:rFonts w:ascii="Times New Roman" w:hAnsi="Times New Roman" w:cs="Times New Roman"/>
          <w:color w:val="000000"/>
          <w:sz w:val="28"/>
          <w:szCs w:val="28"/>
          <w:lang w:val="es-BO"/>
        </w:rPr>
        <w:t>Trung tâm GDNN-GDTX 1 không có dự toán thu NSNN năm 2026. Toàn bộ hoạt động của Trung tâm được ngân sách nhà nước đảm bảo, nguồn thu sự nghiệp (học phí ngoại ngữ, tin học, tiếng dân tộc thiểu số) nếu có sẽ được quản lý theo chế độ tự chủ tài chính. Vì vậy, dự toán thu nộp ngân sách về lĩnh vực giáo dục thường xuyên năm 2026 được xác định là 0 đồng (không phát sinh khoản thu nộp NSNN). Trung tâm sẽ tiếp tục thực hiện đúng quy định về thu, quản lý học phí và các khoản thu dịch vụ giáo dục, đảm bảo công khai, minh bạch; số thu tự có dùng để tái đầu tư nâng cao chất lượng giảng dạy (theo quy chế chi tiêu nội bộ).</w:t>
      </w:r>
    </w:p>
    <w:p w14:paraId="09E32842" w14:textId="77777777" w:rsidR="007C09DF" w:rsidRPr="009403ED" w:rsidRDefault="007C09DF" w:rsidP="009403ED">
      <w:pPr>
        <w:pStyle w:val="NormalWeb"/>
        <w:spacing w:before="120" w:beforeAutospacing="0" w:after="120" w:afterAutospacing="0" w:line="276" w:lineRule="auto"/>
        <w:ind w:firstLine="720"/>
        <w:jc w:val="both"/>
        <w:outlineLvl w:val="2"/>
        <w:rPr>
          <w:b/>
          <w:bCs/>
          <w:i/>
          <w:iCs/>
          <w:color w:val="000000"/>
          <w:sz w:val="28"/>
          <w:szCs w:val="28"/>
          <w:lang w:val="es-BO"/>
        </w:rPr>
      </w:pPr>
      <w:r w:rsidRPr="009403ED">
        <w:rPr>
          <w:b/>
          <w:bCs/>
          <w:i/>
          <w:iCs/>
          <w:color w:val="000000"/>
          <w:sz w:val="28"/>
          <w:szCs w:val="28"/>
          <w:lang w:val="es-BO"/>
        </w:rPr>
        <w:t>2. Xây dựng dự toán chi</w:t>
      </w:r>
    </w:p>
    <w:p w14:paraId="552E4252" w14:textId="77777777" w:rsidR="009403ED" w:rsidRDefault="00302E35" w:rsidP="009403ED">
      <w:pPr>
        <w:widowControl w:val="0"/>
        <w:spacing w:before="120" w:after="120"/>
        <w:ind w:firstLine="720"/>
        <w:jc w:val="both"/>
        <w:rPr>
          <w:rFonts w:ascii="Times New Roman" w:hAnsi="Times New Roman" w:cs="Times New Roman"/>
          <w:color w:val="000000"/>
          <w:sz w:val="28"/>
          <w:szCs w:val="28"/>
          <w:lang w:val="es-BO"/>
        </w:rPr>
      </w:pPr>
      <w:r w:rsidRPr="009403ED">
        <w:rPr>
          <w:rFonts w:ascii="Times New Roman" w:hAnsi="Times New Roman" w:cs="Times New Roman"/>
          <w:color w:val="000000"/>
          <w:sz w:val="28"/>
          <w:szCs w:val="28"/>
          <w:lang w:val="es-BO"/>
        </w:rPr>
        <w:t xml:space="preserve">Căn cứ định mức phân bổ ngân sách hiện hành và khối lượng nhiệm vụ năm 2026, Trung tâm GDNN-GDTX 1 dự kiến dự toán chi thường xuyên năm 2026 khoảng 18,6 tỷ đồng. Trong đó: chi tiền lương, phụ cấp và các khoản đóng góp theo lương khoảng 14–15 tỷ đồng; chi hoạt động chuyên môn, nghiệp vụ ~3,5–4 tỷ đồng; chi khác (điện nước, hành chính…) ~1,1 tỷ đồng. Một số khoản chi cụ thể theo dự toán từng đơn vị: Trung tâm GDNN-GDTX huyện Điện Biên (cũ) năm 2026 dự toán 4,787 tỷ đồng; Trung tâm Ngoại ngữ – Tin học đề xuất NSNN cấp 3,808 tỷ đồng (đáp ứng 90% chi thường xuyên, nếu được giảm mức tự chủ). Dự toán chi năm 2026 bao gồm cả kinh phí thực hiện chế độ chính sách cho học viên (hỗ trợ học bổng học viên dân tộc nội trú, kinh phí đào tạo LHS Lào theo đề án…). </w:t>
      </w:r>
    </w:p>
    <w:p w14:paraId="3A23908A" w14:textId="03B1C063" w:rsidR="006F63EB" w:rsidRPr="009403ED" w:rsidRDefault="00302E35" w:rsidP="009403ED">
      <w:pPr>
        <w:widowControl w:val="0"/>
        <w:spacing w:before="120" w:after="120"/>
        <w:ind w:firstLine="720"/>
        <w:jc w:val="both"/>
        <w:rPr>
          <w:rFonts w:ascii="Times New Roman" w:hAnsi="Times New Roman" w:cs="Times New Roman"/>
          <w:color w:val="000000"/>
          <w:sz w:val="28"/>
          <w:szCs w:val="28"/>
          <w:lang w:val="es-BO"/>
        </w:rPr>
      </w:pPr>
      <w:r w:rsidRPr="009403ED">
        <w:rPr>
          <w:rFonts w:ascii="Times New Roman" w:hAnsi="Times New Roman" w:cs="Times New Roman"/>
          <w:color w:val="000000"/>
          <w:sz w:val="28"/>
          <w:szCs w:val="28"/>
          <w:lang w:val="es-BO"/>
        </w:rPr>
        <w:lastRenderedPageBreak/>
        <w:t>Chi đầu tư phát triển năm 2026: Trung tâm không tự xây dựng do không có dự án giao, song đã đề xuất nhu cầu vốn đầu tư (nâng cấp, sửa chữa cơ sở vật chất) trong phần kế hoạch, chờ cấp có thẩm quyền xem xét. Nếu được bố trí vốn, Trung tâm sẽ phối hợp triển khai theo quy định (hiện tại dự kiến chưa có trong dự toán 2026).</w:t>
      </w:r>
    </w:p>
    <w:p w14:paraId="6A8C2572" w14:textId="77777777" w:rsidR="007C09DF" w:rsidRPr="009403ED" w:rsidRDefault="007C09DF" w:rsidP="009403ED">
      <w:pPr>
        <w:pStyle w:val="NormalWeb"/>
        <w:spacing w:before="120" w:beforeAutospacing="0" w:after="120" w:afterAutospacing="0" w:line="276" w:lineRule="auto"/>
        <w:ind w:firstLine="720"/>
        <w:jc w:val="both"/>
        <w:outlineLvl w:val="2"/>
        <w:rPr>
          <w:b/>
          <w:bCs/>
          <w:i/>
          <w:iCs/>
          <w:color w:val="000000"/>
          <w:sz w:val="28"/>
          <w:szCs w:val="28"/>
          <w:lang w:val="es-BO"/>
        </w:rPr>
      </w:pPr>
      <w:r w:rsidRPr="009403ED">
        <w:rPr>
          <w:b/>
          <w:bCs/>
          <w:i/>
          <w:iCs/>
          <w:color w:val="000000"/>
          <w:sz w:val="28"/>
          <w:szCs w:val="28"/>
          <w:lang w:val="es-BO"/>
        </w:rPr>
        <w:t>3. Kế hoạch tài chính - NSNN 3 năm 2026-2028</w:t>
      </w:r>
    </w:p>
    <w:p w14:paraId="779257FB" w14:textId="77777777" w:rsidR="009403ED" w:rsidRPr="009403ED" w:rsidRDefault="00302E35" w:rsidP="00E7346D">
      <w:pPr>
        <w:widowControl w:val="0"/>
        <w:spacing w:before="120" w:after="120" w:line="264" w:lineRule="auto"/>
        <w:ind w:firstLine="720"/>
        <w:jc w:val="both"/>
        <w:rPr>
          <w:rFonts w:ascii="Times New Roman" w:hAnsi="Times New Roman" w:cs="Times New Roman"/>
          <w:color w:val="000000"/>
          <w:sz w:val="28"/>
          <w:szCs w:val="28"/>
          <w:lang w:val="es-BO"/>
        </w:rPr>
      </w:pPr>
      <w:r w:rsidRPr="009403ED">
        <w:rPr>
          <w:rFonts w:ascii="Times New Roman" w:hAnsi="Times New Roman" w:cs="Times New Roman"/>
          <w:color w:val="000000"/>
          <w:sz w:val="28"/>
          <w:szCs w:val="28"/>
          <w:lang w:val="es-BO"/>
        </w:rPr>
        <w:t xml:space="preserve">Trên cơ sở dự toán 2026, Trung tâm xây dựng kế hoạch ngân sách 3 năm 2026-2028 với dự kiến mức chi tăng bình quân 8–10% mỗi năm. Cụ thể, tổng nhu cầu chi NSNN giai đoạn 2026-2028 khoảng 60 tỷ đồng. Trong đó, năm 2026 ~18,6 tỷ; năm 2027 ~20,5 tỷ; năm 2028 ~22,0 tỷ. Việc tăng nhu cầu chủ yếu do lộ trình cải cách tiền lương (dự kiến tăng lương cơ sở), bổ sung biên chế nếu có và mở rộng quy mô hoạt động. Kế hoạch 3 năm cũng tính đến khả năng phải chi thực hiện các chương trình mục tiêu (nếu tỉnh giao nhiệm vụ đào tạo nghề nông thôn, xóa mù chữ hoặc các đề án khác trong giai đoạn này). </w:t>
      </w:r>
    </w:p>
    <w:p w14:paraId="47ABFCDF" w14:textId="6AB33202" w:rsidR="006F63EB" w:rsidRPr="009403ED" w:rsidRDefault="00302E35" w:rsidP="00E7346D">
      <w:pPr>
        <w:widowControl w:val="0"/>
        <w:spacing w:before="120" w:after="120" w:line="264" w:lineRule="auto"/>
        <w:ind w:firstLine="720"/>
        <w:jc w:val="both"/>
        <w:rPr>
          <w:rFonts w:ascii="Times New Roman" w:hAnsi="Times New Roman" w:cs="Times New Roman"/>
          <w:color w:val="000000"/>
          <w:sz w:val="28"/>
          <w:szCs w:val="28"/>
          <w:lang w:val="es-BO"/>
        </w:rPr>
      </w:pPr>
      <w:r w:rsidRPr="009403ED">
        <w:rPr>
          <w:rFonts w:ascii="Times New Roman" w:hAnsi="Times New Roman" w:cs="Times New Roman"/>
          <w:color w:val="000000"/>
          <w:sz w:val="28"/>
          <w:szCs w:val="28"/>
          <w:lang w:val="es-BO"/>
        </w:rPr>
        <w:t>Trung tâm sẽ cập nhật và điều chỉnh kế hoạch tài chính hàng năm theo hướng dẫn của cơ quan tài chính. Hiện tại, dự kiến không có nguồn thu NSNN trong 3 năm 2026-2028, nên toàn bộ chi phí ~60 tỷ nêu trên đề nghị ngân sách nhà nước đảm bảo.</w:t>
      </w:r>
    </w:p>
    <w:p w14:paraId="1D856C78" w14:textId="77777777" w:rsidR="007C09DF" w:rsidRPr="009403ED" w:rsidRDefault="007C09DF" w:rsidP="00E7346D">
      <w:pPr>
        <w:pStyle w:val="NormalWeb"/>
        <w:spacing w:before="120" w:beforeAutospacing="0" w:after="120" w:afterAutospacing="0" w:line="264" w:lineRule="auto"/>
        <w:ind w:firstLine="720"/>
        <w:jc w:val="both"/>
        <w:outlineLvl w:val="2"/>
        <w:rPr>
          <w:b/>
          <w:bCs/>
          <w:i/>
          <w:iCs/>
          <w:color w:val="000000"/>
          <w:sz w:val="28"/>
          <w:szCs w:val="28"/>
          <w:lang w:val="es-BO"/>
        </w:rPr>
      </w:pPr>
      <w:r w:rsidRPr="009403ED">
        <w:rPr>
          <w:b/>
          <w:bCs/>
          <w:i/>
          <w:iCs/>
          <w:color w:val="000000"/>
          <w:sz w:val="28"/>
          <w:szCs w:val="28"/>
          <w:lang w:val="es-BO"/>
        </w:rPr>
        <w:t>4. Kế hoạch huy động nguồn lực ngoài ngân sách</w:t>
      </w:r>
    </w:p>
    <w:p w14:paraId="539ACEF9" w14:textId="77777777" w:rsidR="009403ED" w:rsidRPr="009403ED" w:rsidRDefault="00302E35" w:rsidP="00E7346D">
      <w:pPr>
        <w:widowControl w:val="0"/>
        <w:spacing w:before="120" w:after="120" w:line="264" w:lineRule="auto"/>
        <w:ind w:firstLine="720"/>
        <w:jc w:val="both"/>
        <w:rPr>
          <w:rFonts w:ascii="Times New Roman" w:hAnsi="Times New Roman" w:cs="Times New Roman"/>
          <w:color w:val="000000"/>
          <w:sz w:val="28"/>
          <w:szCs w:val="28"/>
          <w:lang w:val="es-BO"/>
        </w:rPr>
      </w:pPr>
      <w:r w:rsidRPr="009403ED">
        <w:rPr>
          <w:rFonts w:ascii="Times New Roman" w:hAnsi="Times New Roman" w:cs="Times New Roman"/>
          <w:color w:val="000000"/>
          <w:sz w:val="28"/>
          <w:szCs w:val="28"/>
          <w:lang w:val="es-BO"/>
        </w:rPr>
        <w:t xml:space="preserve">Trung tâm GDNN-GDTX 1 xác định ngoài ngân sách nhà nước, cần tranh thủ các nguồn lực xã hội để hỗ trợ hoạt động giáo dục. Tuy nhiên, hiện chưa có cam kết cụ thể nào về nguồn vốn ODA, viện trợ hay tài trợ cho lĩnh vực giáo dục thường xuyên. Các chương trình, dự án giáo dục quốc gia (như Chương trình mục tiêu giáo dục nghề nghiệp - GDTX) chưa công bố phân bổ chi tiết cho địa phương. </w:t>
      </w:r>
    </w:p>
    <w:p w14:paraId="1ADBA756" w14:textId="44462F8B" w:rsidR="006F63EB" w:rsidRPr="009403ED" w:rsidRDefault="00302E35" w:rsidP="00E7346D">
      <w:pPr>
        <w:widowControl w:val="0"/>
        <w:spacing w:before="120" w:after="120" w:line="264" w:lineRule="auto"/>
        <w:ind w:firstLine="720"/>
        <w:jc w:val="both"/>
        <w:rPr>
          <w:rFonts w:ascii="Times New Roman" w:hAnsi="Times New Roman" w:cs="Times New Roman"/>
          <w:color w:val="000000"/>
          <w:spacing w:val="-2"/>
          <w:sz w:val="28"/>
          <w:szCs w:val="28"/>
          <w:lang w:val="es-BO"/>
        </w:rPr>
      </w:pPr>
      <w:r w:rsidRPr="009403ED">
        <w:rPr>
          <w:rFonts w:ascii="Times New Roman" w:hAnsi="Times New Roman" w:cs="Times New Roman"/>
          <w:color w:val="000000"/>
          <w:spacing w:val="-2"/>
          <w:sz w:val="28"/>
          <w:szCs w:val="28"/>
          <w:lang w:val="es-BO"/>
        </w:rPr>
        <w:t>Do đó, kế hoạch huy động ngoài NSNN năm 2026-2028 của Trung tâm là chưa có nguồn nào đáng kể (tạm thời ghi “Không có”). Mặc dù vậy, Trung tâm sẽ tích cực tìm kiếm các dự án hợp tác, kêu gọi tài trợ từ các tổ chức (ví dụ: dự án hỗ trợ học tiếng Việt cho lưu học sinh, dự án trang thiết bị CNTT cho giáo dục vùng khó khăn…). Nếu trong giai đoạn 2026-2028 có nguồn ngoài NSNN được huy động, Trung tâm sẽ báo cáo bổ sung và xây dựng phương án sử dụng hiệu quả, đúng mục đích.</w:t>
      </w:r>
    </w:p>
    <w:p w14:paraId="34FD1316" w14:textId="0BD1D473" w:rsidR="00124A50" w:rsidRPr="009403ED" w:rsidRDefault="007C09DF" w:rsidP="00E7346D">
      <w:pPr>
        <w:pStyle w:val="Heading2"/>
        <w:spacing w:line="264" w:lineRule="auto"/>
        <w:ind w:firstLine="720"/>
        <w:rPr>
          <w:rStyle w:val="Strong"/>
          <w:rFonts w:cs="Times New Roman"/>
          <w:b/>
          <w:bCs w:val="0"/>
          <w:szCs w:val="28"/>
          <w:lang w:val="es-BO"/>
        </w:rPr>
      </w:pPr>
      <w:r w:rsidRPr="009403ED">
        <w:rPr>
          <w:rStyle w:val="Strong"/>
          <w:rFonts w:cs="Times New Roman"/>
          <w:b/>
          <w:bCs w:val="0"/>
          <w:szCs w:val="28"/>
          <w:lang w:val="es-BO"/>
        </w:rPr>
        <w:t xml:space="preserve">III. KIẾN NGHỊ ĐỀ XUẤT </w:t>
      </w:r>
    </w:p>
    <w:p w14:paraId="7B3781DB" w14:textId="77777777" w:rsidR="00302E35" w:rsidRPr="009403ED" w:rsidRDefault="00302E35" w:rsidP="00E7346D">
      <w:pPr>
        <w:spacing w:before="120" w:after="120" w:line="264" w:lineRule="auto"/>
        <w:ind w:firstLine="720"/>
        <w:jc w:val="both"/>
        <w:rPr>
          <w:rFonts w:ascii="Times New Roman" w:hAnsi="Times New Roman" w:cs="Times New Roman"/>
          <w:sz w:val="28"/>
          <w:szCs w:val="28"/>
          <w:lang w:val="es-BO"/>
        </w:rPr>
      </w:pPr>
      <w:bookmarkStart w:id="0" w:name="_Hlk203323333"/>
      <w:bookmarkStart w:id="1" w:name="_Hlk203323283"/>
      <w:r w:rsidRPr="009403ED">
        <w:rPr>
          <w:rFonts w:ascii="Times New Roman" w:hAnsi="Times New Roman" w:cs="Times New Roman"/>
          <w:sz w:val="28"/>
          <w:szCs w:val="28"/>
          <w:lang w:val="es-BO"/>
        </w:rPr>
        <w:t>Để đảm bảo điều kiện thực hiện tốt nhiệm vụ giáo dục thường xuyên trong năm 2026 và các năm tiếp theo, Trung tâm GDNN-GDTX 1 kính đề xuất một số nội dung sau:</w:t>
      </w:r>
    </w:p>
    <w:p w14:paraId="0E86F043" w14:textId="77777777" w:rsidR="00040A0B" w:rsidRDefault="00302E35" w:rsidP="00040A0B">
      <w:pPr>
        <w:pStyle w:val="ListParagraph"/>
        <w:numPr>
          <w:ilvl w:val="0"/>
          <w:numId w:val="8"/>
        </w:numPr>
        <w:spacing w:before="120" w:after="120" w:line="264" w:lineRule="auto"/>
        <w:jc w:val="both"/>
        <w:rPr>
          <w:rFonts w:ascii="Times New Roman" w:hAnsi="Times New Roman" w:cs="Times New Roman"/>
          <w:sz w:val="28"/>
          <w:szCs w:val="28"/>
          <w:lang w:val="es-BO"/>
        </w:rPr>
      </w:pPr>
      <w:r w:rsidRPr="00040A0B">
        <w:rPr>
          <w:rFonts w:ascii="Times New Roman" w:hAnsi="Times New Roman" w:cs="Times New Roman"/>
          <w:b/>
          <w:bCs/>
          <w:sz w:val="28"/>
          <w:szCs w:val="28"/>
          <w:lang w:val="es-BO"/>
        </w:rPr>
        <w:t>Điều chỉnh mức tự chủ tài chính:</w:t>
      </w:r>
      <w:r w:rsidRPr="00040A0B">
        <w:rPr>
          <w:rFonts w:ascii="Times New Roman" w:hAnsi="Times New Roman" w:cs="Times New Roman"/>
          <w:sz w:val="28"/>
          <w:szCs w:val="28"/>
          <w:lang w:val="es-BO"/>
        </w:rPr>
        <w:t xml:space="preserve"> </w:t>
      </w:r>
    </w:p>
    <w:p w14:paraId="6A24837F" w14:textId="4FAF2E10" w:rsidR="00040A0B" w:rsidRPr="00040A0B" w:rsidRDefault="00040A0B" w:rsidP="00040A0B">
      <w:pPr>
        <w:spacing w:before="120" w:after="120" w:line="264" w:lineRule="auto"/>
        <w:ind w:firstLine="720"/>
        <w:jc w:val="both"/>
        <w:rPr>
          <w:rFonts w:ascii="Times New Roman" w:hAnsi="Times New Roman" w:cs="Times New Roman"/>
          <w:sz w:val="28"/>
          <w:szCs w:val="28"/>
          <w:lang w:val="es-BO"/>
        </w:rPr>
      </w:pPr>
      <w:r w:rsidRPr="00040A0B">
        <w:rPr>
          <w:rFonts w:ascii="Times New Roman" w:hAnsi="Times New Roman" w:cs="Times New Roman"/>
          <w:sz w:val="28"/>
          <w:szCs w:val="28"/>
        </w:rPr>
        <w:t xml:space="preserve">Đề nghị Sở Giáo dục và Đào tạo, Sở Tài chính xem xét giảm tỷ lệ tự chủ tài chính của Trung tâm từ 27% xuống còn 10%. Theo Quyết định số 433/QĐ-SGDĐT ngày 30/6/2022, Trung tâm Ngoại ngữ – Tin học (nay đã sáp nhập vào Trung tâm 1) được giao tự chủ 27% kinh phí; Trung tâm GDTX tỉnh là 26%. Tuy nhiên, trong bối </w:t>
      </w:r>
      <w:r w:rsidRPr="00040A0B">
        <w:rPr>
          <w:rFonts w:ascii="Times New Roman" w:hAnsi="Times New Roman" w:cs="Times New Roman"/>
          <w:sz w:val="28"/>
          <w:szCs w:val="28"/>
        </w:rPr>
        <w:lastRenderedPageBreak/>
        <w:t>cảnh mới sau sáp nhập, nhiệm vụ được mở rộng, quy mô tăng nhưng nguồn thu chưa ổn định, việc giữ nguyên tỷ lệ tự chủ cũ là không phù hợp với thực tiễn hoạt động hiện nay. Việc điều chỉnh xuống 10% sẽ giúp Trung tâm có thêm nguồn lực để duy trì hoạt động ổn định, đầu tư cơ sở vật chất, từng bước nâng cao chất lượng giáo dục và đào tạo.</w:t>
      </w:r>
    </w:p>
    <w:bookmarkEnd w:id="0"/>
    <w:p w14:paraId="7000D989" w14:textId="6BA64418" w:rsidR="00040A0B" w:rsidRDefault="00302E35" w:rsidP="00040A0B">
      <w:pPr>
        <w:pStyle w:val="NormalWeb"/>
        <w:numPr>
          <w:ilvl w:val="0"/>
          <w:numId w:val="8"/>
        </w:numPr>
        <w:spacing w:before="120" w:beforeAutospacing="0" w:after="120" w:afterAutospacing="0" w:line="276" w:lineRule="auto"/>
        <w:jc w:val="both"/>
        <w:rPr>
          <w:sz w:val="28"/>
          <w:szCs w:val="28"/>
          <w:lang w:val="es-BO"/>
        </w:rPr>
      </w:pPr>
      <w:r w:rsidRPr="009403ED">
        <w:rPr>
          <w:b/>
          <w:bCs/>
          <w:sz w:val="28"/>
          <w:szCs w:val="28"/>
          <w:lang w:val="es-BO"/>
        </w:rPr>
        <w:t>Hỗ trợ đầu tư cơ sở vật chất cho các cơ sở sáp nhập:</w:t>
      </w:r>
      <w:r w:rsidRPr="009403ED">
        <w:rPr>
          <w:sz w:val="28"/>
          <w:szCs w:val="28"/>
          <w:lang w:val="es-BO"/>
        </w:rPr>
        <w:t xml:space="preserve"> </w:t>
      </w:r>
    </w:p>
    <w:p w14:paraId="6EEE690E" w14:textId="7CECF413" w:rsidR="003B7875" w:rsidRPr="003B7875" w:rsidRDefault="003B7875" w:rsidP="003B7875">
      <w:pPr>
        <w:pStyle w:val="NormalWeb"/>
        <w:spacing w:before="120" w:beforeAutospacing="0" w:after="120" w:afterAutospacing="0" w:line="276" w:lineRule="auto"/>
        <w:ind w:firstLine="720"/>
        <w:jc w:val="both"/>
        <w:rPr>
          <w:sz w:val="28"/>
          <w:szCs w:val="28"/>
        </w:rPr>
      </w:pPr>
      <w:r w:rsidRPr="003B7875">
        <w:rPr>
          <w:sz w:val="28"/>
          <w:szCs w:val="28"/>
        </w:rPr>
        <w:t xml:space="preserve">Như đã phân tích, các cơ sở trước khi sáp nhập thành Trung tâm GDNN–GDTX số 1 đều đang gặp </w:t>
      </w:r>
      <w:r>
        <w:rPr>
          <w:sz w:val="28"/>
          <w:szCs w:val="28"/>
        </w:rPr>
        <w:t xml:space="preserve">rất nhiều </w:t>
      </w:r>
      <w:r w:rsidRPr="003B7875">
        <w:rPr>
          <w:sz w:val="28"/>
          <w:szCs w:val="28"/>
        </w:rPr>
        <w:t>khó khăn về cơ sở vật chất. Sau hơn 20 năm sử dụng, nhiều hạng mục công trình đã xuống cấp; bên cạnh đó, Trung tâm hiện còn thiếu phòng học, phòng chức năng, phòng thực hành – thí nghiệm, gây ảnh hưởng trực tiếp đến chất lượng giảng dạy và việc triển khai các nhiệm vụ mới sau sáp nhập.</w:t>
      </w:r>
    </w:p>
    <w:p w14:paraId="4B41317A" w14:textId="77777777" w:rsidR="003B7875" w:rsidRPr="003B7875" w:rsidRDefault="003B7875" w:rsidP="003B7875">
      <w:pPr>
        <w:pStyle w:val="NormalWeb"/>
        <w:spacing w:before="120" w:beforeAutospacing="0" w:after="120" w:afterAutospacing="0" w:line="276" w:lineRule="auto"/>
        <w:ind w:firstLine="720"/>
        <w:jc w:val="both"/>
        <w:rPr>
          <w:sz w:val="28"/>
          <w:szCs w:val="28"/>
        </w:rPr>
      </w:pPr>
      <w:r w:rsidRPr="003B7875">
        <w:rPr>
          <w:sz w:val="28"/>
          <w:szCs w:val="28"/>
        </w:rPr>
        <w:t>Kính đề nghị Sở Giáo dục và Đào tạo, Sở Tài chính và Ủy ban nhân dân tỉnh quan tâm, xem xét bố trí nguồn vốn đầu tư để cải tạo, nâng cấp cơ sở vật chất của Trung tâm trong giai đoạn 2026–2030, nhằm từng bước đáp ứng yêu cầu đổi mới chương trình giáo dục thường xuyên và giáo dục nghề nghiệp theo hướng đạt chuẩn.</w:t>
      </w:r>
    </w:p>
    <w:p w14:paraId="1F13E4AC" w14:textId="19481226" w:rsidR="003B7875" w:rsidRPr="003B7875" w:rsidRDefault="003B7875" w:rsidP="003B7875">
      <w:pPr>
        <w:pStyle w:val="NormalWeb"/>
        <w:spacing w:before="120" w:beforeAutospacing="0" w:after="120" w:afterAutospacing="0" w:line="276" w:lineRule="auto"/>
        <w:ind w:firstLine="720"/>
        <w:jc w:val="both"/>
        <w:rPr>
          <w:sz w:val="28"/>
          <w:szCs w:val="28"/>
        </w:rPr>
      </w:pPr>
      <w:r w:rsidRPr="003B7875">
        <w:rPr>
          <w:sz w:val="28"/>
          <w:szCs w:val="28"/>
        </w:rPr>
        <w:t xml:space="preserve">Đồng thời, đề nghị Ủy ban nhân dân tỉnh </w:t>
      </w:r>
      <w:r>
        <w:rPr>
          <w:sz w:val="28"/>
          <w:szCs w:val="28"/>
        </w:rPr>
        <w:t xml:space="preserve">xem xét, </w:t>
      </w:r>
      <w:r w:rsidRPr="003B7875">
        <w:rPr>
          <w:sz w:val="28"/>
          <w:szCs w:val="28"/>
        </w:rPr>
        <w:t>bố trí quỹ đất phù hợp để đầu tư xây dựng một cơ sở mới của Trung tâm theo hướng đồng bộ, hiện đại, có đầy đủ nhà xưởng, phòng thực hành nghề, phòng học đa năng, phục vụ hiệu quả mục tiêu phát triển giáo dục nghề nghiệp – giáo dục thường xuyên trong giai đoạn trung hạn và dài hạn, phù hợp với chiến lược phát triển nguồn nhân lực của tỉnh.</w:t>
      </w:r>
    </w:p>
    <w:p w14:paraId="1B87DECD" w14:textId="14D4E0F9" w:rsidR="00AB5776" w:rsidRPr="009403ED" w:rsidRDefault="00AB5776" w:rsidP="009403ED">
      <w:pPr>
        <w:spacing w:before="120" w:after="120"/>
        <w:ind w:firstLine="720"/>
        <w:jc w:val="both"/>
        <w:rPr>
          <w:rFonts w:ascii="Times New Roman" w:hAnsi="Times New Roman" w:cs="Times New Roman"/>
          <w:sz w:val="28"/>
          <w:szCs w:val="28"/>
          <w:lang w:val="es-BO"/>
        </w:rPr>
      </w:pPr>
      <w:r w:rsidRPr="009403ED">
        <w:rPr>
          <w:rFonts w:ascii="Times New Roman" w:hAnsi="Times New Roman" w:cs="Times New Roman"/>
          <w:b/>
          <w:bCs/>
          <w:sz w:val="28"/>
          <w:szCs w:val="28"/>
          <w:lang w:val="es-BO"/>
        </w:rPr>
        <w:t>3.</w:t>
      </w:r>
      <w:r w:rsidRPr="009403ED">
        <w:rPr>
          <w:rFonts w:ascii="Times New Roman" w:hAnsi="Times New Roman" w:cs="Times New Roman"/>
          <w:sz w:val="28"/>
          <w:szCs w:val="28"/>
          <w:lang w:val="es-BO"/>
        </w:rPr>
        <w:t xml:space="preserve"> </w:t>
      </w:r>
      <w:r w:rsidR="00702796" w:rsidRPr="009403ED">
        <w:rPr>
          <w:rFonts w:ascii="Times New Roman" w:hAnsi="Times New Roman" w:cs="Times New Roman"/>
          <w:b/>
          <w:bCs/>
          <w:sz w:val="28"/>
          <w:szCs w:val="28"/>
          <w:lang w:val="es-BO"/>
        </w:rPr>
        <w:t>Bổ sung thiết bị dạy học phục vụ chương trình mới:</w:t>
      </w:r>
      <w:r w:rsidR="00702796" w:rsidRPr="009403ED">
        <w:rPr>
          <w:rFonts w:ascii="Times New Roman" w:hAnsi="Times New Roman" w:cs="Times New Roman"/>
          <w:sz w:val="28"/>
          <w:szCs w:val="28"/>
          <w:lang w:val="es-BO"/>
        </w:rPr>
        <w:t xml:space="preserve"> Kính đề nghị Sở GD&amp;ĐT ưu tiên cấp bổ sung các thiết bị dạy học theo Chương trình GDPT 2018 cho Trung tâm GDNN-GDTX 1 ngay từ năm 2026. Trước mắt, đề nghị </w:t>
      </w:r>
      <w:r w:rsidR="00E54041">
        <w:rPr>
          <w:rFonts w:ascii="Times New Roman" w:hAnsi="Times New Roman" w:cs="Times New Roman"/>
          <w:sz w:val="28"/>
          <w:szCs w:val="28"/>
          <w:lang w:val="es-BO"/>
        </w:rPr>
        <w:t>sớm xem xét, trang cấp</w:t>
      </w:r>
      <w:r w:rsidR="00702796" w:rsidRPr="009403ED">
        <w:rPr>
          <w:rFonts w:ascii="Times New Roman" w:hAnsi="Times New Roman" w:cs="Times New Roman"/>
          <w:sz w:val="28"/>
          <w:szCs w:val="28"/>
          <w:lang w:val="es-BO"/>
        </w:rPr>
        <w:t xml:space="preserve"> bộ thiết bị thí nghiệm Vật lý, Hóa học, Sinh học cho khối 10 và 11 (năm học 2025</w:t>
      </w:r>
      <w:r w:rsidR="00E54041">
        <w:rPr>
          <w:rFonts w:ascii="Times New Roman" w:hAnsi="Times New Roman" w:cs="Times New Roman"/>
          <w:sz w:val="28"/>
          <w:szCs w:val="28"/>
          <w:lang w:val="es-BO"/>
        </w:rPr>
        <w:t>-</w:t>
      </w:r>
      <w:r w:rsidR="00702796" w:rsidRPr="009403ED">
        <w:rPr>
          <w:rFonts w:ascii="Times New Roman" w:hAnsi="Times New Roman" w:cs="Times New Roman"/>
          <w:sz w:val="28"/>
          <w:szCs w:val="28"/>
          <w:lang w:val="es-BO"/>
        </w:rPr>
        <w:t>2026) và dự trù cho khối 12 (2026–2027</w:t>
      </w:r>
      <w:r w:rsidR="00E54041">
        <w:rPr>
          <w:rFonts w:ascii="Times New Roman" w:hAnsi="Times New Roman" w:cs="Times New Roman"/>
          <w:sz w:val="28"/>
          <w:szCs w:val="28"/>
          <w:lang w:val="es-BO"/>
        </w:rPr>
        <w:t>..</w:t>
      </w:r>
      <w:r w:rsidR="00702796" w:rsidRPr="009403ED">
        <w:rPr>
          <w:rFonts w:ascii="Times New Roman" w:hAnsi="Times New Roman" w:cs="Times New Roman"/>
          <w:sz w:val="28"/>
          <w:szCs w:val="28"/>
          <w:lang w:val="es-BO"/>
        </w:rPr>
        <w:t xml:space="preserve">. Ngoài ra, Trung tâm kiến nghị được cung cấp thêm học liệu, tài liệu cho chương trình giáo dục thường xuyên (sách giáo khoa, sách giáo viên bản GDTX, tài liệu bổ trợ) vì hiện nay rất khan hiếm trên thị trường. Việc bổ sung kịp thời thiết bị và học liệu sẽ giúp Trung tâm triển khai chương trình mới một cách đồng bộ, hiệu quả, nâng cao chất lượng giáo dục toàn diện cho học </w:t>
      </w:r>
      <w:r w:rsidR="00E54041">
        <w:rPr>
          <w:rFonts w:ascii="Times New Roman" w:hAnsi="Times New Roman" w:cs="Times New Roman"/>
          <w:sz w:val="28"/>
          <w:szCs w:val="28"/>
          <w:lang w:val="es-BO"/>
        </w:rPr>
        <w:t xml:space="preserve">sinh, học </w:t>
      </w:r>
      <w:r w:rsidR="00702796" w:rsidRPr="009403ED">
        <w:rPr>
          <w:rFonts w:ascii="Times New Roman" w:hAnsi="Times New Roman" w:cs="Times New Roman"/>
          <w:sz w:val="28"/>
          <w:szCs w:val="28"/>
          <w:lang w:val="es-BO"/>
        </w:rPr>
        <w:t>viên.</w:t>
      </w:r>
    </w:p>
    <w:bookmarkEnd w:id="1"/>
    <w:p w14:paraId="1B675341" w14:textId="456DBC4D" w:rsidR="00A34F60" w:rsidRPr="009403ED" w:rsidRDefault="00A34F60" w:rsidP="009403ED">
      <w:pPr>
        <w:spacing w:before="120" w:after="120"/>
        <w:ind w:firstLine="720"/>
        <w:jc w:val="both"/>
        <w:rPr>
          <w:rFonts w:ascii="Times New Roman" w:hAnsi="Times New Roman" w:cs="Times New Roman"/>
          <w:sz w:val="28"/>
          <w:szCs w:val="28"/>
          <w:lang w:val="es-BO"/>
        </w:rPr>
      </w:pPr>
      <w:r w:rsidRPr="009403ED">
        <w:rPr>
          <w:rFonts w:ascii="Times New Roman" w:hAnsi="Times New Roman" w:cs="Times New Roman"/>
          <w:sz w:val="28"/>
          <w:szCs w:val="28"/>
          <w:lang w:val="es-BO"/>
        </w:rPr>
        <w:t xml:space="preserve">Trên đây là </w:t>
      </w:r>
      <w:r w:rsidR="007C09DF" w:rsidRPr="009403ED">
        <w:rPr>
          <w:rFonts w:ascii="Times New Roman" w:hAnsi="Times New Roman" w:cs="Times New Roman"/>
          <w:sz w:val="28"/>
          <w:szCs w:val="28"/>
          <w:lang w:val="es-BO"/>
        </w:rPr>
        <w:t>Báo cáo đánh giá tình hình thực hiện Kế hoạch phát triển kinh tế xã hội năm 2025 và giai đoạn 2021-2025; xây dựng Kế hoạch phát triển kinh tế xã hội năm 2026 lĩnh vực giáo dục và đào tạo</w:t>
      </w:r>
      <w:r w:rsidRPr="009403ED">
        <w:rPr>
          <w:rFonts w:ascii="Times New Roman" w:hAnsi="Times New Roman" w:cs="Times New Roman"/>
          <w:sz w:val="28"/>
          <w:szCs w:val="28"/>
          <w:lang w:val="es-BO"/>
        </w:rPr>
        <w:t xml:space="preserve"> của Trung tâm </w:t>
      </w:r>
      <w:r w:rsidR="007C09DF" w:rsidRPr="009403ED">
        <w:rPr>
          <w:rFonts w:ascii="Times New Roman" w:hAnsi="Times New Roman" w:cs="Times New Roman"/>
          <w:sz w:val="28"/>
          <w:szCs w:val="28"/>
          <w:lang w:val="es-BO"/>
        </w:rPr>
        <w:t>GDNN-GDTX 1</w:t>
      </w:r>
      <w:r w:rsidRPr="009403ED">
        <w:rPr>
          <w:rFonts w:ascii="Times New Roman" w:hAnsi="Times New Roman" w:cs="Times New Roman"/>
          <w:sz w:val="28"/>
          <w:szCs w:val="28"/>
          <w:lang w:val="es-BO"/>
        </w:rPr>
        <w:t xml:space="preserve">. Kính </w:t>
      </w:r>
      <w:r w:rsidR="007C09DF" w:rsidRPr="009403ED">
        <w:rPr>
          <w:rFonts w:ascii="Times New Roman" w:hAnsi="Times New Roman" w:cs="Times New Roman"/>
          <w:sz w:val="28"/>
          <w:szCs w:val="28"/>
          <w:lang w:val="es-BO"/>
        </w:rPr>
        <w:t>gửi</w:t>
      </w:r>
      <w:r w:rsidRPr="009403ED">
        <w:rPr>
          <w:rFonts w:ascii="Times New Roman" w:hAnsi="Times New Roman" w:cs="Times New Roman"/>
          <w:sz w:val="28"/>
          <w:szCs w:val="28"/>
          <w:lang w:val="es-BO"/>
        </w:rPr>
        <w:t xml:space="preserve"> Sở Giáo dục và Đào tạo </w:t>
      </w:r>
      <w:r w:rsidR="002372A1">
        <w:rPr>
          <w:rFonts w:ascii="Times New Roman" w:hAnsi="Times New Roman" w:cs="Times New Roman"/>
          <w:sz w:val="28"/>
          <w:szCs w:val="28"/>
          <w:lang w:val="es-BO"/>
        </w:rPr>
        <w:t xml:space="preserve">Điện Biên </w:t>
      </w:r>
      <w:r w:rsidR="007C09DF" w:rsidRPr="009403ED">
        <w:rPr>
          <w:rFonts w:ascii="Times New Roman" w:hAnsi="Times New Roman" w:cs="Times New Roman"/>
          <w:sz w:val="28"/>
          <w:szCs w:val="28"/>
          <w:lang w:val="es-BO"/>
        </w:rPr>
        <w:t>xem xét, tổng hợp</w:t>
      </w:r>
      <w:r w:rsidRPr="009403ED">
        <w:rPr>
          <w:rFonts w:ascii="Times New Roman" w:hAnsi="Times New Roman" w:cs="Times New Roman"/>
          <w:sz w:val="28"/>
          <w:szCs w:val="28"/>
          <w:lang w:val="es-BO"/>
        </w:rPr>
        <w:t>./.</w:t>
      </w:r>
    </w:p>
    <w:tbl>
      <w:tblPr>
        <w:tblW w:w="9498" w:type="dxa"/>
        <w:tblCellMar>
          <w:left w:w="0" w:type="dxa"/>
          <w:right w:w="0" w:type="dxa"/>
        </w:tblCellMar>
        <w:tblLook w:val="01E0" w:firstRow="1" w:lastRow="1" w:firstColumn="1" w:lastColumn="1" w:noHBand="0" w:noVBand="0"/>
      </w:tblPr>
      <w:tblGrid>
        <w:gridCol w:w="4590"/>
        <w:gridCol w:w="4908"/>
      </w:tblGrid>
      <w:tr w:rsidR="00A34F60" w:rsidRPr="0075741C" w14:paraId="48283F29" w14:textId="77777777" w:rsidTr="0095776F">
        <w:trPr>
          <w:trHeight w:val="914"/>
        </w:trPr>
        <w:tc>
          <w:tcPr>
            <w:tcW w:w="4590" w:type="dxa"/>
            <w:shd w:val="clear" w:color="auto" w:fill="auto"/>
          </w:tcPr>
          <w:p w14:paraId="027E03D9" w14:textId="77777777" w:rsidR="00A34F60" w:rsidRPr="00A34F60" w:rsidRDefault="00A34F60" w:rsidP="00A474AC">
            <w:pPr>
              <w:widowControl w:val="0"/>
              <w:jc w:val="both"/>
              <w:rPr>
                <w:rFonts w:ascii="Times New Roman" w:eastAsia="Times New Roman" w:hAnsi="Times New Roman" w:cs="Times New Roman"/>
                <w:i/>
                <w:sz w:val="24"/>
                <w:szCs w:val="20"/>
                <w:lang w:val="vi-VN" w:eastAsia="vi-VN"/>
              </w:rPr>
            </w:pPr>
            <w:r w:rsidRPr="00A34F60">
              <w:rPr>
                <w:rFonts w:ascii="Times New Roman" w:eastAsia="Times New Roman" w:hAnsi="Times New Roman" w:cs="Times New Roman"/>
                <w:b/>
                <w:i/>
                <w:sz w:val="24"/>
                <w:szCs w:val="20"/>
                <w:lang w:val="vi-VN" w:eastAsia="vi-VN"/>
              </w:rPr>
              <w:t>Nơi nhận</w:t>
            </w:r>
            <w:r w:rsidRPr="00A34F60">
              <w:rPr>
                <w:rFonts w:ascii="Times New Roman" w:eastAsia="Times New Roman" w:hAnsi="Times New Roman" w:cs="Times New Roman"/>
                <w:i/>
                <w:sz w:val="24"/>
                <w:szCs w:val="20"/>
                <w:lang w:val="vi-VN" w:eastAsia="vi-VN"/>
              </w:rPr>
              <w:t>:</w:t>
            </w:r>
          </w:p>
          <w:p w14:paraId="37664B7D" w14:textId="77777777" w:rsidR="00A34F60" w:rsidRPr="00A34F60" w:rsidRDefault="00A34F60" w:rsidP="00A474AC">
            <w:pPr>
              <w:widowControl w:val="0"/>
              <w:jc w:val="both"/>
              <w:rPr>
                <w:rFonts w:ascii="Times New Roman" w:eastAsia="Times New Roman" w:hAnsi="Times New Roman" w:cs="Times New Roman"/>
                <w:lang w:val="vi-VN" w:eastAsia="vi-VN"/>
              </w:rPr>
            </w:pPr>
            <w:r w:rsidRPr="00A34F60">
              <w:rPr>
                <w:rFonts w:ascii="Times New Roman" w:eastAsia="Times New Roman" w:hAnsi="Times New Roman" w:cs="Times New Roman"/>
                <w:lang w:val="vi-VN" w:eastAsia="vi-VN"/>
              </w:rPr>
              <w:t>- Sở GD</w:t>
            </w:r>
            <w:r w:rsidRPr="0041413B">
              <w:rPr>
                <w:rFonts w:ascii="Times New Roman" w:eastAsia="Times New Roman" w:hAnsi="Times New Roman" w:cs="Times New Roman"/>
                <w:lang w:val="es-BO" w:eastAsia="vi-VN"/>
              </w:rPr>
              <w:t>&amp;</w:t>
            </w:r>
            <w:r w:rsidRPr="00A34F60">
              <w:rPr>
                <w:rFonts w:ascii="Times New Roman" w:eastAsia="Times New Roman" w:hAnsi="Times New Roman" w:cs="Times New Roman"/>
                <w:lang w:val="vi-VN" w:eastAsia="vi-VN"/>
              </w:rPr>
              <w:t>ĐT (</w:t>
            </w:r>
            <w:r w:rsidRPr="0041413B">
              <w:rPr>
                <w:rFonts w:ascii="Times New Roman" w:eastAsia="Times New Roman" w:hAnsi="Times New Roman" w:cs="Times New Roman"/>
                <w:lang w:val="es-BO" w:eastAsia="vi-VN"/>
              </w:rPr>
              <w:t>Phòng KHTC</w:t>
            </w:r>
            <w:r w:rsidRPr="00A34F60">
              <w:rPr>
                <w:rFonts w:ascii="Times New Roman" w:eastAsia="Times New Roman" w:hAnsi="Times New Roman" w:cs="Times New Roman"/>
                <w:lang w:val="vi-VN" w:eastAsia="vi-VN"/>
              </w:rPr>
              <w:t>);</w:t>
            </w:r>
          </w:p>
          <w:p w14:paraId="6A6AC1F7" w14:textId="77777777" w:rsidR="00A34F60" w:rsidRPr="00A34F60" w:rsidRDefault="00A34F60" w:rsidP="00A474AC">
            <w:pPr>
              <w:widowControl w:val="0"/>
              <w:jc w:val="both"/>
              <w:rPr>
                <w:rFonts w:ascii="Times New Roman" w:eastAsia="Times New Roman" w:hAnsi="Times New Roman" w:cs="Times New Roman"/>
                <w:sz w:val="24"/>
                <w:szCs w:val="20"/>
                <w:lang w:val="vi-VN" w:eastAsia="vi-VN"/>
              </w:rPr>
            </w:pPr>
            <w:r w:rsidRPr="00A34F60">
              <w:rPr>
                <w:rFonts w:ascii="Times New Roman" w:eastAsia="Times New Roman" w:hAnsi="Times New Roman" w:cs="Times New Roman"/>
                <w:lang w:val="vi-VN" w:eastAsia="vi-VN"/>
              </w:rPr>
              <w:t>- Lưu VT.</w:t>
            </w:r>
          </w:p>
        </w:tc>
        <w:tc>
          <w:tcPr>
            <w:tcW w:w="4908" w:type="dxa"/>
            <w:shd w:val="clear" w:color="auto" w:fill="auto"/>
          </w:tcPr>
          <w:p w14:paraId="171D6B0A" w14:textId="691A0E74" w:rsidR="008C1495" w:rsidRPr="007C09DF" w:rsidRDefault="008C1495" w:rsidP="008C1495">
            <w:pPr>
              <w:jc w:val="center"/>
              <w:rPr>
                <w:rFonts w:ascii="Times New Roman" w:hAnsi="Times New Roman" w:cs="Times New Roman"/>
                <w:b/>
                <w:sz w:val="24"/>
                <w:lang w:val="vi-VN"/>
              </w:rPr>
            </w:pPr>
            <w:r w:rsidRPr="007C09DF">
              <w:rPr>
                <w:rFonts w:ascii="Times New Roman" w:hAnsi="Times New Roman" w:cs="Times New Roman"/>
                <w:b/>
                <w:sz w:val="24"/>
                <w:lang w:val="vi-VN"/>
              </w:rPr>
              <w:t>GIÁM ĐỐC</w:t>
            </w:r>
          </w:p>
          <w:p w14:paraId="5EA01CF9" w14:textId="77777777" w:rsidR="008C1495" w:rsidRPr="007C09DF" w:rsidRDefault="008C1495" w:rsidP="008C1495">
            <w:pPr>
              <w:jc w:val="center"/>
              <w:rPr>
                <w:rFonts w:ascii="Times New Roman" w:hAnsi="Times New Roman" w:cs="Times New Roman"/>
                <w:b/>
                <w:sz w:val="24"/>
                <w:lang w:val="vi-VN"/>
              </w:rPr>
            </w:pPr>
          </w:p>
          <w:p w14:paraId="3F845B18" w14:textId="77777777" w:rsidR="008C1495" w:rsidRDefault="008C1495" w:rsidP="008C1495">
            <w:pPr>
              <w:jc w:val="center"/>
              <w:rPr>
                <w:rFonts w:ascii="Times New Roman" w:hAnsi="Times New Roman" w:cs="Times New Roman"/>
                <w:b/>
                <w:sz w:val="24"/>
              </w:rPr>
            </w:pPr>
          </w:p>
          <w:p w14:paraId="58D70D8E" w14:textId="77777777" w:rsidR="003B7875" w:rsidRPr="003B7875" w:rsidRDefault="003B7875" w:rsidP="008C1495">
            <w:pPr>
              <w:jc w:val="center"/>
              <w:rPr>
                <w:rFonts w:ascii="Times New Roman" w:hAnsi="Times New Roman" w:cs="Times New Roman"/>
                <w:b/>
                <w:sz w:val="24"/>
              </w:rPr>
            </w:pPr>
          </w:p>
          <w:p w14:paraId="53A76B01" w14:textId="77777777" w:rsidR="008C1495" w:rsidRPr="007C09DF" w:rsidRDefault="008C1495" w:rsidP="008C1495">
            <w:pPr>
              <w:jc w:val="center"/>
              <w:rPr>
                <w:rFonts w:ascii="Times New Roman" w:hAnsi="Times New Roman" w:cs="Times New Roman"/>
                <w:b/>
                <w:sz w:val="24"/>
                <w:lang w:val="vi-VN"/>
              </w:rPr>
            </w:pPr>
          </w:p>
          <w:p w14:paraId="58C0E38C" w14:textId="77777777" w:rsidR="008C1495" w:rsidRPr="007C09DF" w:rsidRDefault="008C1495" w:rsidP="008C1495">
            <w:pPr>
              <w:jc w:val="center"/>
              <w:rPr>
                <w:rFonts w:ascii="Times New Roman" w:hAnsi="Times New Roman" w:cs="Times New Roman"/>
                <w:b/>
                <w:sz w:val="24"/>
                <w:lang w:val="vi-VN"/>
              </w:rPr>
            </w:pPr>
          </w:p>
          <w:p w14:paraId="7AE6580F" w14:textId="77777777" w:rsidR="008C1495" w:rsidRPr="007C09DF" w:rsidRDefault="008C1495" w:rsidP="008C1495">
            <w:pPr>
              <w:jc w:val="center"/>
              <w:rPr>
                <w:rFonts w:ascii="Times New Roman" w:hAnsi="Times New Roman" w:cs="Times New Roman"/>
                <w:b/>
                <w:sz w:val="24"/>
                <w:lang w:val="vi-VN"/>
              </w:rPr>
            </w:pPr>
          </w:p>
          <w:p w14:paraId="6A89EBCE" w14:textId="71CD2E5C" w:rsidR="00A34F60" w:rsidRPr="007C09DF" w:rsidRDefault="008C1495" w:rsidP="008C1495">
            <w:pPr>
              <w:widowControl w:val="0"/>
              <w:jc w:val="center"/>
              <w:rPr>
                <w:rFonts w:ascii="Times New Roman" w:eastAsia="Times New Roman" w:hAnsi="Times New Roman" w:cs="Times New Roman"/>
                <w:b/>
                <w:sz w:val="28"/>
                <w:szCs w:val="28"/>
                <w:lang w:val="vi-VN" w:eastAsia="vi-VN"/>
              </w:rPr>
            </w:pPr>
            <w:r w:rsidRPr="007C09DF">
              <w:rPr>
                <w:rFonts w:ascii="Times New Roman" w:hAnsi="Times New Roman" w:cs="Times New Roman"/>
                <w:b/>
                <w:sz w:val="28"/>
                <w:szCs w:val="28"/>
                <w:lang w:val="vi-VN"/>
              </w:rPr>
              <w:t>Phạm Thuý</w:t>
            </w:r>
          </w:p>
        </w:tc>
      </w:tr>
    </w:tbl>
    <w:p w14:paraId="103086AB" w14:textId="77777777" w:rsidR="005A4083" w:rsidRPr="00E7346D" w:rsidRDefault="005A4083" w:rsidP="00E7346D">
      <w:pPr>
        <w:widowControl w:val="0"/>
        <w:pBdr>
          <w:top w:val="nil"/>
          <w:left w:val="nil"/>
          <w:bottom w:val="nil"/>
          <w:right w:val="nil"/>
          <w:between w:val="nil"/>
        </w:pBdr>
        <w:spacing w:before="120" w:line="240" w:lineRule="auto"/>
        <w:ind w:right="-5"/>
        <w:jc w:val="both"/>
        <w:rPr>
          <w:rFonts w:ascii="Times New Roman" w:eastAsia="Times" w:hAnsi="Times New Roman" w:cs="Times New Roman"/>
          <w:color w:val="000000"/>
          <w:sz w:val="28"/>
          <w:szCs w:val="28"/>
        </w:rPr>
      </w:pPr>
    </w:p>
    <w:sectPr w:rsidR="005A4083" w:rsidRPr="00E7346D" w:rsidSect="004013F0">
      <w:headerReference w:type="default" r:id="rId8"/>
      <w:type w:val="continuous"/>
      <w:pgSz w:w="11900" w:h="16820"/>
      <w:pgMar w:top="1134" w:right="1127" w:bottom="1134" w:left="1418" w:header="720" w:footer="720" w:gutter="0"/>
      <w:cols w:space="720" w:equalWidth="0">
        <w:col w:w="9428" w:space="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83EC" w14:textId="77777777" w:rsidR="005815CD" w:rsidRDefault="005815CD" w:rsidP="00624FD7">
      <w:pPr>
        <w:spacing w:line="240" w:lineRule="auto"/>
      </w:pPr>
      <w:r>
        <w:separator/>
      </w:r>
    </w:p>
  </w:endnote>
  <w:endnote w:type="continuationSeparator" w:id="0">
    <w:p w14:paraId="04C2444A" w14:textId="77777777" w:rsidR="005815CD" w:rsidRDefault="005815CD" w:rsidP="00624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6925" w14:textId="77777777" w:rsidR="005815CD" w:rsidRDefault="005815CD" w:rsidP="00624FD7">
      <w:pPr>
        <w:spacing w:line="240" w:lineRule="auto"/>
      </w:pPr>
      <w:r>
        <w:separator/>
      </w:r>
    </w:p>
  </w:footnote>
  <w:footnote w:type="continuationSeparator" w:id="0">
    <w:p w14:paraId="2D964E0E" w14:textId="77777777" w:rsidR="005815CD" w:rsidRDefault="005815CD" w:rsidP="00624F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1885683439"/>
      <w:docPartObj>
        <w:docPartGallery w:val="Page Numbers (Top of Page)"/>
        <w:docPartUnique/>
      </w:docPartObj>
    </w:sdtPr>
    <w:sdtEndPr>
      <w:rPr>
        <w:noProof/>
      </w:rPr>
    </w:sdtEndPr>
    <w:sdtContent>
      <w:p w14:paraId="493DD41A" w14:textId="3CA97EA2" w:rsidR="00624FD7" w:rsidRPr="00AA6200" w:rsidRDefault="00624FD7" w:rsidP="00AA6200">
        <w:pPr>
          <w:pStyle w:val="Header"/>
          <w:jc w:val="center"/>
          <w:rPr>
            <w:rFonts w:ascii="Times New Roman" w:hAnsi="Times New Roman" w:cs="Times New Roman"/>
            <w:sz w:val="26"/>
            <w:szCs w:val="26"/>
          </w:rPr>
        </w:pPr>
        <w:r w:rsidRPr="00AA6200">
          <w:rPr>
            <w:rFonts w:ascii="Times New Roman" w:hAnsi="Times New Roman" w:cs="Times New Roman"/>
            <w:sz w:val="26"/>
            <w:szCs w:val="26"/>
          </w:rPr>
          <w:fldChar w:fldCharType="begin"/>
        </w:r>
        <w:r w:rsidRPr="00AA6200">
          <w:rPr>
            <w:rFonts w:ascii="Times New Roman" w:hAnsi="Times New Roman" w:cs="Times New Roman"/>
            <w:sz w:val="26"/>
            <w:szCs w:val="26"/>
          </w:rPr>
          <w:instrText xml:space="preserve"> PAGE   \* MERGEFORMAT </w:instrText>
        </w:r>
        <w:r w:rsidRPr="00AA6200">
          <w:rPr>
            <w:rFonts w:ascii="Times New Roman" w:hAnsi="Times New Roman" w:cs="Times New Roman"/>
            <w:sz w:val="26"/>
            <w:szCs w:val="26"/>
          </w:rPr>
          <w:fldChar w:fldCharType="separate"/>
        </w:r>
        <w:r w:rsidRPr="00AA6200">
          <w:rPr>
            <w:rFonts w:ascii="Times New Roman" w:hAnsi="Times New Roman" w:cs="Times New Roman"/>
            <w:noProof/>
            <w:sz w:val="26"/>
            <w:szCs w:val="26"/>
          </w:rPr>
          <w:t>2</w:t>
        </w:r>
        <w:r w:rsidRPr="00AA6200">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C48"/>
    <w:multiLevelType w:val="multilevel"/>
    <w:tmpl w:val="F7EC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83E9F"/>
    <w:multiLevelType w:val="hybridMultilevel"/>
    <w:tmpl w:val="F0407A10"/>
    <w:lvl w:ilvl="0" w:tplc="336E8B7E">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8F3567"/>
    <w:multiLevelType w:val="hybridMultilevel"/>
    <w:tmpl w:val="256E5796"/>
    <w:lvl w:ilvl="0" w:tplc="158E4A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AB5333"/>
    <w:multiLevelType w:val="multilevel"/>
    <w:tmpl w:val="4902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42C83"/>
    <w:multiLevelType w:val="singleLevel"/>
    <w:tmpl w:val="93C8E0F8"/>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C5E16E4"/>
    <w:multiLevelType w:val="multilevel"/>
    <w:tmpl w:val="9B16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F0649"/>
    <w:multiLevelType w:val="multilevel"/>
    <w:tmpl w:val="92F2E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F11F3"/>
    <w:multiLevelType w:val="multilevel"/>
    <w:tmpl w:val="7538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3216EC"/>
    <w:multiLevelType w:val="multilevel"/>
    <w:tmpl w:val="2A84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4A7D36"/>
    <w:multiLevelType w:val="multilevel"/>
    <w:tmpl w:val="91AE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5221950">
    <w:abstractNumId w:val="4"/>
  </w:num>
  <w:num w:numId="2" w16cid:durableId="797145190">
    <w:abstractNumId w:val="3"/>
  </w:num>
  <w:num w:numId="3" w16cid:durableId="649794523">
    <w:abstractNumId w:val="7"/>
  </w:num>
  <w:num w:numId="4" w16cid:durableId="592208868">
    <w:abstractNumId w:val="8"/>
  </w:num>
  <w:num w:numId="5" w16cid:durableId="319427756">
    <w:abstractNumId w:val="0"/>
  </w:num>
  <w:num w:numId="6" w16cid:durableId="1972322916">
    <w:abstractNumId w:val="9"/>
  </w:num>
  <w:num w:numId="7" w16cid:durableId="504324372">
    <w:abstractNumId w:val="1"/>
  </w:num>
  <w:num w:numId="8" w16cid:durableId="1292788285">
    <w:abstractNumId w:val="2"/>
  </w:num>
  <w:num w:numId="9" w16cid:durableId="270281800">
    <w:abstractNumId w:val="6"/>
  </w:num>
  <w:num w:numId="10" w16cid:durableId="1683780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70"/>
    <w:rsid w:val="000074B1"/>
    <w:rsid w:val="00011A05"/>
    <w:rsid w:val="0001691F"/>
    <w:rsid w:val="00023EEF"/>
    <w:rsid w:val="0003293A"/>
    <w:rsid w:val="00033DD0"/>
    <w:rsid w:val="00040A0B"/>
    <w:rsid w:val="000B5DB5"/>
    <w:rsid w:val="000B63B9"/>
    <w:rsid w:val="000C4DAD"/>
    <w:rsid w:val="000E38C2"/>
    <w:rsid w:val="000F0962"/>
    <w:rsid w:val="00101529"/>
    <w:rsid w:val="00116B16"/>
    <w:rsid w:val="00124A50"/>
    <w:rsid w:val="00184CE3"/>
    <w:rsid w:val="001959E6"/>
    <w:rsid w:val="001E6065"/>
    <w:rsid w:val="0021058A"/>
    <w:rsid w:val="0021122F"/>
    <w:rsid w:val="00213F68"/>
    <w:rsid w:val="002372A1"/>
    <w:rsid w:val="00243A58"/>
    <w:rsid w:val="002633A4"/>
    <w:rsid w:val="00275179"/>
    <w:rsid w:val="00276240"/>
    <w:rsid w:val="00283ACD"/>
    <w:rsid w:val="002854A1"/>
    <w:rsid w:val="002C34A1"/>
    <w:rsid w:val="002F2219"/>
    <w:rsid w:val="0030077A"/>
    <w:rsid w:val="00302475"/>
    <w:rsid w:val="00302E35"/>
    <w:rsid w:val="00306D14"/>
    <w:rsid w:val="003371A2"/>
    <w:rsid w:val="0035546F"/>
    <w:rsid w:val="00365DF3"/>
    <w:rsid w:val="00385317"/>
    <w:rsid w:val="00391BD0"/>
    <w:rsid w:val="003A4DFC"/>
    <w:rsid w:val="003B1981"/>
    <w:rsid w:val="003B7875"/>
    <w:rsid w:val="003D2BCD"/>
    <w:rsid w:val="003E0F8B"/>
    <w:rsid w:val="003E3608"/>
    <w:rsid w:val="003F5A54"/>
    <w:rsid w:val="004013F0"/>
    <w:rsid w:val="00403CE6"/>
    <w:rsid w:val="0041413B"/>
    <w:rsid w:val="0043388C"/>
    <w:rsid w:val="00445CB9"/>
    <w:rsid w:val="00447EE1"/>
    <w:rsid w:val="00484623"/>
    <w:rsid w:val="00486D9C"/>
    <w:rsid w:val="004E1465"/>
    <w:rsid w:val="004F51DF"/>
    <w:rsid w:val="00506F12"/>
    <w:rsid w:val="00525D0E"/>
    <w:rsid w:val="005373AE"/>
    <w:rsid w:val="0054540E"/>
    <w:rsid w:val="00550765"/>
    <w:rsid w:val="0055659B"/>
    <w:rsid w:val="005815CD"/>
    <w:rsid w:val="00590C74"/>
    <w:rsid w:val="00592C95"/>
    <w:rsid w:val="005A13B1"/>
    <w:rsid w:val="005A4083"/>
    <w:rsid w:val="005D1578"/>
    <w:rsid w:val="005D3969"/>
    <w:rsid w:val="00624FD7"/>
    <w:rsid w:val="00646D6C"/>
    <w:rsid w:val="006571B4"/>
    <w:rsid w:val="00671986"/>
    <w:rsid w:val="00682EBF"/>
    <w:rsid w:val="00692D0C"/>
    <w:rsid w:val="00695414"/>
    <w:rsid w:val="006A1CC0"/>
    <w:rsid w:val="006A741A"/>
    <w:rsid w:val="006C0F13"/>
    <w:rsid w:val="006C1089"/>
    <w:rsid w:val="006D0372"/>
    <w:rsid w:val="006D19A0"/>
    <w:rsid w:val="006E393A"/>
    <w:rsid w:val="006F3D53"/>
    <w:rsid w:val="006F63EB"/>
    <w:rsid w:val="00702796"/>
    <w:rsid w:val="007154C1"/>
    <w:rsid w:val="007461FF"/>
    <w:rsid w:val="0075094A"/>
    <w:rsid w:val="0075310C"/>
    <w:rsid w:val="0075445E"/>
    <w:rsid w:val="0075741C"/>
    <w:rsid w:val="00792C40"/>
    <w:rsid w:val="00792D8B"/>
    <w:rsid w:val="0079375A"/>
    <w:rsid w:val="007B014A"/>
    <w:rsid w:val="007C09DF"/>
    <w:rsid w:val="007F231E"/>
    <w:rsid w:val="007F3413"/>
    <w:rsid w:val="00817189"/>
    <w:rsid w:val="008274ED"/>
    <w:rsid w:val="008430A0"/>
    <w:rsid w:val="00882DF2"/>
    <w:rsid w:val="0089744F"/>
    <w:rsid w:val="008C1495"/>
    <w:rsid w:val="008C7F2C"/>
    <w:rsid w:val="008E6EAB"/>
    <w:rsid w:val="009032A8"/>
    <w:rsid w:val="009140BC"/>
    <w:rsid w:val="009146D1"/>
    <w:rsid w:val="00930997"/>
    <w:rsid w:val="00932339"/>
    <w:rsid w:val="009403ED"/>
    <w:rsid w:val="0095776F"/>
    <w:rsid w:val="009C3F2C"/>
    <w:rsid w:val="009D67AA"/>
    <w:rsid w:val="00A17FE2"/>
    <w:rsid w:val="00A23717"/>
    <w:rsid w:val="00A34F60"/>
    <w:rsid w:val="00A36A2A"/>
    <w:rsid w:val="00A42171"/>
    <w:rsid w:val="00A644F4"/>
    <w:rsid w:val="00AA6200"/>
    <w:rsid w:val="00AB5776"/>
    <w:rsid w:val="00AE1B8F"/>
    <w:rsid w:val="00B32E6E"/>
    <w:rsid w:val="00B40943"/>
    <w:rsid w:val="00B53C3A"/>
    <w:rsid w:val="00B82107"/>
    <w:rsid w:val="00B86A30"/>
    <w:rsid w:val="00BA2AE3"/>
    <w:rsid w:val="00BF67FC"/>
    <w:rsid w:val="00C204BF"/>
    <w:rsid w:val="00C25F67"/>
    <w:rsid w:val="00C46111"/>
    <w:rsid w:val="00C46AD1"/>
    <w:rsid w:val="00C509C8"/>
    <w:rsid w:val="00C530F4"/>
    <w:rsid w:val="00C5723E"/>
    <w:rsid w:val="00C92E19"/>
    <w:rsid w:val="00C93B17"/>
    <w:rsid w:val="00C96E11"/>
    <w:rsid w:val="00CA375A"/>
    <w:rsid w:val="00CC7F7E"/>
    <w:rsid w:val="00CD2A47"/>
    <w:rsid w:val="00CF0D97"/>
    <w:rsid w:val="00CF41F9"/>
    <w:rsid w:val="00CF7316"/>
    <w:rsid w:val="00D06671"/>
    <w:rsid w:val="00D24ACD"/>
    <w:rsid w:val="00D33CCB"/>
    <w:rsid w:val="00D41909"/>
    <w:rsid w:val="00D510DD"/>
    <w:rsid w:val="00D60360"/>
    <w:rsid w:val="00D6043F"/>
    <w:rsid w:val="00D60BAF"/>
    <w:rsid w:val="00D74A9B"/>
    <w:rsid w:val="00D85489"/>
    <w:rsid w:val="00DB7568"/>
    <w:rsid w:val="00DC2705"/>
    <w:rsid w:val="00DD728D"/>
    <w:rsid w:val="00DE0DA2"/>
    <w:rsid w:val="00E03F8E"/>
    <w:rsid w:val="00E278E3"/>
    <w:rsid w:val="00E54041"/>
    <w:rsid w:val="00E72A1E"/>
    <w:rsid w:val="00E7346D"/>
    <w:rsid w:val="00EC7455"/>
    <w:rsid w:val="00ED41FD"/>
    <w:rsid w:val="00EE5C33"/>
    <w:rsid w:val="00EF12E2"/>
    <w:rsid w:val="00EF2870"/>
    <w:rsid w:val="00EF7ED0"/>
    <w:rsid w:val="00F542FB"/>
    <w:rsid w:val="00F57476"/>
    <w:rsid w:val="00F57844"/>
    <w:rsid w:val="00F91D56"/>
    <w:rsid w:val="00FA4283"/>
    <w:rsid w:val="00FB2215"/>
    <w:rsid w:val="00FF0F18"/>
    <w:rsid w:val="00FF3B1A"/>
    <w:rsid w:val="00FF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F131FCE"/>
  <w15:docId w15:val="{F6C83B25-F24E-4D88-A6E1-7F6C185E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92C95"/>
    <w:pPr>
      <w:keepNext/>
      <w:keepLines/>
      <w:spacing w:before="120" w:after="120"/>
      <w:jc w:val="center"/>
      <w:outlineLvl w:val="0"/>
    </w:pPr>
    <w:rPr>
      <w:rFonts w:ascii="Times New Roman" w:hAnsi="Times New Roman"/>
      <w:b/>
      <w:sz w:val="28"/>
      <w:szCs w:val="48"/>
    </w:rPr>
  </w:style>
  <w:style w:type="paragraph" w:styleId="Heading2">
    <w:name w:val="heading 2"/>
    <w:basedOn w:val="Normal"/>
    <w:next w:val="Normal"/>
    <w:uiPriority w:val="9"/>
    <w:unhideWhenUsed/>
    <w:qFormat/>
    <w:rsid w:val="0035546F"/>
    <w:pPr>
      <w:keepNext/>
      <w:keepLines/>
      <w:spacing w:before="120" w:after="120"/>
      <w:ind w:firstLine="709"/>
      <w:jc w:val="both"/>
      <w:outlineLvl w:val="1"/>
    </w:pPr>
    <w:rPr>
      <w:rFonts w:ascii="Times New Roman" w:hAnsi="Times New Roman"/>
      <w:b/>
      <w:sz w:val="28"/>
      <w:szCs w:val="36"/>
    </w:rPr>
  </w:style>
  <w:style w:type="paragraph" w:styleId="Heading3">
    <w:name w:val="heading 3"/>
    <w:basedOn w:val="Normal"/>
    <w:next w:val="Normal"/>
    <w:link w:val="Heading3Char"/>
    <w:unhideWhenUsed/>
    <w:qFormat/>
    <w:rsid w:val="00592C95"/>
    <w:pPr>
      <w:widowControl w:val="0"/>
      <w:spacing w:before="120" w:after="120"/>
      <w:ind w:firstLine="709"/>
      <w:jc w:val="both"/>
      <w:outlineLvl w:val="2"/>
    </w:pPr>
    <w:rPr>
      <w:rFonts w:ascii="Times New Roman" w:hAnsi="Times New Roman"/>
      <w:b/>
      <w:sz w:val="28"/>
      <w:szCs w:val="28"/>
    </w:rPr>
  </w:style>
  <w:style w:type="paragraph" w:styleId="Heading4">
    <w:name w:val="heading 4"/>
    <w:basedOn w:val="Normal"/>
    <w:next w:val="Normal"/>
    <w:uiPriority w:val="9"/>
    <w:semiHidden/>
    <w:unhideWhenUsed/>
    <w:qFormat/>
    <w:rsid w:val="00592C95"/>
    <w:pPr>
      <w:widowControl w:val="0"/>
      <w:spacing w:before="120" w:after="120"/>
      <w:ind w:firstLine="709"/>
      <w:jc w:val="both"/>
      <w:outlineLvl w:val="3"/>
    </w:pPr>
    <w:rPr>
      <w:rFonts w:ascii="Times New Roman" w:hAnsi="Times New Roman"/>
      <w:b/>
      <w:sz w:val="28"/>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hn">
    <w:name w:val="Phần"/>
    <w:basedOn w:val="Normal"/>
    <w:link w:val="PhnChar"/>
    <w:qFormat/>
    <w:rsid w:val="0035546F"/>
    <w:pPr>
      <w:widowControl w:val="0"/>
      <w:pBdr>
        <w:top w:val="nil"/>
        <w:left w:val="nil"/>
        <w:bottom w:val="nil"/>
        <w:right w:val="nil"/>
        <w:between w:val="nil"/>
      </w:pBdr>
      <w:spacing w:before="120" w:line="240" w:lineRule="auto"/>
      <w:ind w:right="-6" w:firstLine="709"/>
      <w:jc w:val="both"/>
    </w:pPr>
    <w:rPr>
      <w:rFonts w:ascii="Times New Roman" w:eastAsia="Times" w:hAnsi="Times New Roman" w:cs="Times New Roman"/>
      <w:b/>
      <w:color w:val="000000"/>
      <w:sz w:val="28"/>
      <w:szCs w:val="28"/>
    </w:rPr>
  </w:style>
  <w:style w:type="paragraph" w:customStyle="1" w:styleId="Mc">
    <w:name w:val="Mục"/>
    <w:basedOn w:val="Normal"/>
    <w:link w:val="McChar"/>
    <w:qFormat/>
    <w:rsid w:val="0035546F"/>
    <w:pPr>
      <w:widowControl w:val="0"/>
      <w:pBdr>
        <w:top w:val="nil"/>
        <w:left w:val="nil"/>
        <w:bottom w:val="nil"/>
        <w:right w:val="nil"/>
        <w:between w:val="nil"/>
      </w:pBdr>
      <w:spacing w:before="120" w:line="240" w:lineRule="auto"/>
      <w:ind w:right="-6" w:firstLine="709"/>
      <w:jc w:val="both"/>
    </w:pPr>
    <w:rPr>
      <w:rFonts w:ascii="Times New Roman" w:eastAsia="Times" w:hAnsi="Times New Roman" w:cs="Times New Roman"/>
      <w:b/>
      <w:color w:val="000000"/>
      <w:sz w:val="28"/>
      <w:szCs w:val="28"/>
    </w:rPr>
  </w:style>
  <w:style w:type="character" w:customStyle="1" w:styleId="PhnChar">
    <w:name w:val="Phần Char"/>
    <w:basedOn w:val="DefaultParagraphFont"/>
    <w:link w:val="Phn"/>
    <w:rsid w:val="0035546F"/>
    <w:rPr>
      <w:rFonts w:ascii="Times New Roman" w:eastAsia="Times" w:hAnsi="Times New Roman" w:cs="Times New Roman"/>
      <w:b/>
      <w:color w:val="000000"/>
      <w:sz w:val="28"/>
      <w:szCs w:val="28"/>
    </w:rPr>
  </w:style>
  <w:style w:type="paragraph" w:customStyle="1" w:styleId="Tiumc">
    <w:name w:val="Tiểu mục"/>
    <w:basedOn w:val="Normal"/>
    <w:link w:val="TiumcChar"/>
    <w:qFormat/>
    <w:rsid w:val="0035546F"/>
    <w:pPr>
      <w:widowControl w:val="0"/>
      <w:pBdr>
        <w:top w:val="nil"/>
        <w:left w:val="nil"/>
        <w:bottom w:val="nil"/>
        <w:right w:val="nil"/>
        <w:between w:val="nil"/>
      </w:pBdr>
      <w:spacing w:before="120" w:line="240" w:lineRule="auto"/>
      <w:ind w:right="-5" w:firstLine="709"/>
      <w:jc w:val="both"/>
    </w:pPr>
    <w:rPr>
      <w:rFonts w:ascii="Times New Roman" w:eastAsia="Times" w:hAnsi="Times New Roman" w:cs="Times New Roman"/>
      <w:b/>
      <w:color w:val="000000"/>
      <w:sz w:val="28"/>
      <w:szCs w:val="28"/>
    </w:rPr>
  </w:style>
  <w:style w:type="character" w:customStyle="1" w:styleId="McChar">
    <w:name w:val="Mục Char"/>
    <w:basedOn w:val="DefaultParagraphFont"/>
    <w:link w:val="Mc"/>
    <w:rsid w:val="0035546F"/>
    <w:rPr>
      <w:rFonts w:ascii="Times New Roman" w:eastAsia="Times" w:hAnsi="Times New Roman" w:cs="Times New Roman"/>
      <w:b/>
      <w:color w:val="000000"/>
      <w:sz w:val="28"/>
      <w:szCs w:val="28"/>
    </w:rPr>
  </w:style>
  <w:style w:type="paragraph" w:styleId="NoSpacing">
    <w:name w:val="No Spacing"/>
    <w:uiPriority w:val="1"/>
    <w:qFormat/>
    <w:rsid w:val="00592C95"/>
    <w:pPr>
      <w:spacing w:line="240" w:lineRule="auto"/>
    </w:pPr>
  </w:style>
  <w:style w:type="character" w:customStyle="1" w:styleId="TiumcChar">
    <w:name w:val="Tiểu mục Char"/>
    <w:basedOn w:val="DefaultParagraphFont"/>
    <w:link w:val="Tiumc"/>
    <w:rsid w:val="0035546F"/>
    <w:rPr>
      <w:rFonts w:ascii="Times New Roman" w:eastAsia="Times" w:hAnsi="Times New Roman" w:cs="Times New Roman"/>
      <w:b/>
      <w:color w:val="000000"/>
      <w:sz w:val="28"/>
      <w:szCs w:val="28"/>
    </w:rPr>
  </w:style>
  <w:style w:type="paragraph" w:styleId="Header">
    <w:name w:val="header"/>
    <w:basedOn w:val="Normal"/>
    <w:link w:val="HeaderChar"/>
    <w:uiPriority w:val="99"/>
    <w:unhideWhenUsed/>
    <w:rsid w:val="00624FD7"/>
    <w:pPr>
      <w:tabs>
        <w:tab w:val="center" w:pos="4680"/>
        <w:tab w:val="right" w:pos="9360"/>
      </w:tabs>
      <w:spacing w:line="240" w:lineRule="auto"/>
    </w:pPr>
  </w:style>
  <w:style w:type="character" w:customStyle="1" w:styleId="HeaderChar">
    <w:name w:val="Header Char"/>
    <w:basedOn w:val="DefaultParagraphFont"/>
    <w:link w:val="Header"/>
    <w:uiPriority w:val="99"/>
    <w:rsid w:val="00624FD7"/>
  </w:style>
  <w:style w:type="paragraph" w:styleId="Footer">
    <w:name w:val="footer"/>
    <w:basedOn w:val="Normal"/>
    <w:link w:val="FooterChar"/>
    <w:uiPriority w:val="99"/>
    <w:unhideWhenUsed/>
    <w:rsid w:val="00624FD7"/>
    <w:pPr>
      <w:tabs>
        <w:tab w:val="center" w:pos="4680"/>
        <w:tab w:val="right" w:pos="9360"/>
      </w:tabs>
      <w:spacing w:line="240" w:lineRule="auto"/>
    </w:pPr>
  </w:style>
  <w:style w:type="character" w:customStyle="1" w:styleId="FooterChar">
    <w:name w:val="Footer Char"/>
    <w:basedOn w:val="DefaultParagraphFont"/>
    <w:link w:val="Footer"/>
    <w:uiPriority w:val="99"/>
    <w:rsid w:val="00624FD7"/>
  </w:style>
  <w:style w:type="paragraph" w:styleId="FootnoteText">
    <w:name w:val="footnote text"/>
    <w:basedOn w:val="Normal"/>
    <w:link w:val="FootnoteTextChar"/>
    <w:uiPriority w:val="99"/>
    <w:semiHidden/>
    <w:unhideWhenUsed/>
    <w:rsid w:val="00D06671"/>
    <w:pPr>
      <w:spacing w:line="240" w:lineRule="auto"/>
    </w:pPr>
    <w:rPr>
      <w:sz w:val="20"/>
      <w:szCs w:val="20"/>
    </w:rPr>
  </w:style>
  <w:style w:type="character" w:customStyle="1" w:styleId="FootnoteTextChar">
    <w:name w:val="Footnote Text Char"/>
    <w:basedOn w:val="DefaultParagraphFont"/>
    <w:link w:val="FootnoteText"/>
    <w:uiPriority w:val="99"/>
    <w:semiHidden/>
    <w:rsid w:val="00D06671"/>
    <w:rPr>
      <w:sz w:val="20"/>
      <w:szCs w:val="20"/>
    </w:rPr>
  </w:style>
  <w:style w:type="character" w:styleId="FootnoteReference">
    <w:name w:val="footnote reference"/>
    <w:basedOn w:val="DefaultParagraphFont"/>
    <w:uiPriority w:val="99"/>
    <w:semiHidden/>
    <w:unhideWhenUsed/>
    <w:rsid w:val="00D06671"/>
    <w:rPr>
      <w:vertAlign w:val="superscript"/>
    </w:rPr>
  </w:style>
  <w:style w:type="character" w:customStyle="1" w:styleId="Heading1Char">
    <w:name w:val="Heading 1 Char"/>
    <w:basedOn w:val="DefaultParagraphFont"/>
    <w:link w:val="Heading1"/>
    <w:rsid w:val="00FF3B1A"/>
    <w:rPr>
      <w:rFonts w:ascii="Times New Roman" w:hAnsi="Times New Roman"/>
      <w:b/>
      <w:sz w:val="28"/>
      <w:szCs w:val="48"/>
    </w:rPr>
  </w:style>
  <w:style w:type="paragraph" w:styleId="BodyText">
    <w:name w:val="Body Text"/>
    <w:basedOn w:val="Normal"/>
    <w:link w:val="BodyTextChar"/>
    <w:semiHidden/>
    <w:unhideWhenUsed/>
    <w:rsid w:val="00FF3B1A"/>
    <w:pPr>
      <w:spacing w:before="120" w:line="300" w:lineRule="auto"/>
      <w:jc w:val="both"/>
    </w:pPr>
    <w:rPr>
      <w:rFonts w:ascii=".VnTime" w:eastAsia="Times New Roman" w:hAnsi=".VnTime" w:cs="Times New Roman"/>
      <w:bCs/>
      <w:sz w:val="28"/>
      <w:szCs w:val="24"/>
    </w:rPr>
  </w:style>
  <w:style w:type="character" w:customStyle="1" w:styleId="BodyTextChar">
    <w:name w:val="Body Text Char"/>
    <w:basedOn w:val="DefaultParagraphFont"/>
    <w:link w:val="BodyText"/>
    <w:semiHidden/>
    <w:rsid w:val="00FF3B1A"/>
    <w:rPr>
      <w:rFonts w:ascii=".VnTime" w:eastAsia="Times New Roman" w:hAnsi=".VnTime" w:cs="Times New Roman"/>
      <w:bCs/>
      <w:sz w:val="28"/>
      <w:szCs w:val="24"/>
    </w:rPr>
  </w:style>
  <w:style w:type="paragraph" w:styleId="NormalWeb">
    <w:name w:val="Normal (Web)"/>
    <w:basedOn w:val="Normal"/>
    <w:uiPriority w:val="99"/>
    <w:rsid w:val="007C0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link w:val="Heading3"/>
    <w:locked/>
    <w:rsid w:val="007C09DF"/>
    <w:rPr>
      <w:rFonts w:ascii="Times New Roman" w:hAnsi="Times New Roman"/>
      <w:b/>
      <w:sz w:val="28"/>
      <w:szCs w:val="28"/>
    </w:rPr>
  </w:style>
  <w:style w:type="character" w:styleId="Strong">
    <w:name w:val="Strong"/>
    <w:uiPriority w:val="22"/>
    <w:qFormat/>
    <w:rsid w:val="007C09DF"/>
    <w:rPr>
      <w:b/>
      <w:bCs/>
    </w:rPr>
  </w:style>
  <w:style w:type="paragraph" w:styleId="ListParagraph">
    <w:name w:val="List Paragraph"/>
    <w:basedOn w:val="Normal"/>
    <w:uiPriority w:val="34"/>
    <w:qFormat/>
    <w:rsid w:val="006F6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0855">
      <w:bodyDiv w:val="1"/>
      <w:marLeft w:val="0"/>
      <w:marRight w:val="0"/>
      <w:marTop w:val="0"/>
      <w:marBottom w:val="0"/>
      <w:divBdr>
        <w:top w:val="none" w:sz="0" w:space="0" w:color="auto"/>
        <w:left w:val="none" w:sz="0" w:space="0" w:color="auto"/>
        <w:bottom w:val="none" w:sz="0" w:space="0" w:color="auto"/>
        <w:right w:val="none" w:sz="0" w:space="0" w:color="auto"/>
      </w:divBdr>
    </w:div>
    <w:div w:id="227227013">
      <w:bodyDiv w:val="1"/>
      <w:marLeft w:val="0"/>
      <w:marRight w:val="0"/>
      <w:marTop w:val="0"/>
      <w:marBottom w:val="0"/>
      <w:divBdr>
        <w:top w:val="none" w:sz="0" w:space="0" w:color="auto"/>
        <w:left w:val="none" w:sz="0" w:space="0" w:color="auto"/>
        <w:bottom w:val="none" w:sz="0" w:space="0" w:color="auto"/>
        <w:right w:val="none" w:sz="0" w:space="0" w:color="auto"/>
      </w:divBdr>
    </w:div>
    <w:div w:id="249117640">
      <w:bodyDiv w:val="1"/>
      <w:marLeft w:val="0"/>
      <w:marRight w:val="0"/>
      <w:marTop w:val="0"/>
      <w:marBottom w:val="0"/>
      <w:divBdr>
        <w:top w:val="none" w:sz="0" w:space="0" w:color="auto"/>
        <w:left w:val="none" w:sz="0" w:space="0" w:color="auto"/>
        <w:bottom w:val="none" w:sz="0" w:space="0" w:color="auto"/>
        <w:right w:val="none" w:sz="0" w:space="0" w:color="auto"/>
      </w:divBdr>
    </w:div>
    <w:div w:id="275986572">
      <w:bodyDiv w:val="1"/>
      <w:marLeft w:val="0"/>
      <w:marRight w:val="0"/>
      <w:marTop w:val="0"/>
      <w:marBottom w:val="0"/>
      <w:divBdr>
        <w:top w:val="none" w:sz="0" w:space="0" w:color="auto"/>
        <w:left w:val="none" w:sz="0" w:space="0" w:color="auto"/>
        <w:bottom w:val="none" w:sz="0" w:space="0" w:color="auto"/>
        <w:right w:val="none" w:sz="0" w:space="0" w:color="auto"/>
      </w:divBdr>
    </w:div>
    <w:div w:id="341787229">
      <w:bodyDiv w:val="1"/>
      <w:marLeft w:val="0"/>
      <w:marRight w:val="0"/>
      <w:marTop w:val="0"/>
      <w:marBottom w:val="0"/>
      <w:divBdr>
        <w:top w:val="none" w:sz="0" w:space="0" w:color="auto"/>
        <w:left w:val="none" w:sz="0" w:space="0" w:color="auto"/>
        <w:bottom w:val="none" w:sz="0" w:space="0" w:color="auto"/>
        <w:right w:val="none" w:sz="0" w:space="0" w:color="auto"/>
      </w:divBdr>
    </w:div>
    <w:div w:id="445201005">
      <w:bodyDiv w:val="1"/>
      <w:marLeft w:val="0"/>
      <w:marRight w:val="0"/>
      <w:marTop w:val="0"/>
      <w:marBottom w:val="0"/>
      <w:divBdr>
        <w:top w:val="none" w:sz="0" w:space="0" w:color="auto"/>
        <w:left w:val="none" w:sz="0" w:space="0" w:color="auto"/>
        <w:bottom w:val="none" w:sz="0" w:space="0" w:color="auto"/>
        <w:right w:val="none" w:sz="0" w:space="0" w:color="auto"/>
      </w:divBdr>
    </w:div>
    <w:div w:id="693507535">
      <w:bodyDiv w:val="1"/>
      <w:marLeft w:val="0"/>
      <w:marRight w:val="0"/>
      <w:marTop w:val="0"/>
      <w:marBottom w:val="0"/>
      <w:divBdr>
        <w:top w:val="none" w:sz="0" w:space="0" w:color="auto"/>
        <w:left w:val="none" w:sz="0" w:space="0" w:color="auto"/>
        <w:bottom w:val="none" w:sz="0" w:space="0" w:color="auto"/>
        <w:right w:val="none" w:sz="0" w:space="0" w:color="auto"/>
      </w:divBdr>
    </w:div>
    <w:div w:id="752094317">
      <w:bodyDiv w:val="1"/>
      <w:marLeft w:val="0"/>
      <w:marRight w:val="0"/>
      <w:marTop w:val="0"/>
      <w:marBottom w:val="0"/>
      <w:divBdr>
        <w:top w:val="none" w:sz="0" w:space="0" w:color="auto"/>
        <w:left w:val="none" w:sz="0" w:space="0" w:color="auto"/>
        <w:bottom w:val="none" w:sz="0" w:space="0" w:color="auto"/>
        <w:right w:val="none" w:sz="0" w:space="0" w:color="auto"/>
      </w:divBdr>
    </w:div>
    <w:div w:id="899749823">
      <w:bodyDiv w:val="1"/>
      <w:marLeft w:val="0"/>
      <w:marRight w:val="0"/>
      <w:marTop w:val="0"/>
      <w:marBottom w:val="0"/>
      <w:divBdr>
        <w:top w:val="none" w:sz="0" w:space="0" w:color="auto"/>
        <w:left w:val="none" w:sz="0" w:space="0" w:color="auto"/>
        <w:bottom w:val="none" w:sz="0" w:space="0" w:color="auto"/>
        <w:right w:val="none" w:sz="0" w:space="0" w:color="auto"/>
      </w:divBdr>
    </w:div>
    <w:div w:id="1132405124">
      <w:bodyDiv w:val="1"/>
      <w:marLeft w:val="0"/>
      <w:marRight w:val="0"/>
      <w:marTop w:val="0"/>
      <w:marBottom w:val="0"/>
      <w:divBdr>
        <w:top w:val="none" w:sz="0" w:space="0" w:color="auto"/>
        <w:left w:val="none" w:sz="0" w:space="0" w:color="auto"/>
        <w:bottom w:val="none" w:sz="0" w:space="0" w:color="auto"/>
        <w:right w:val="none" w:sz="0" w:space="0" w:color="auto"/>
      </w:divBdr>
    </w:div>
    <w:div w:id="1145968710">
      <w:bodyDiv w:val="1"/>
      <w:marLeft w:val="0"/>
      <w:marRight w:val="0"/>
      <w:marTop w:val="0"/>
      <w:marBottom w:val="0"/>
      <w:divBdr>
        <w:top w:val="none" w:sz="0" w:space="0" w:color="auto"/>
        <w:left w:val="none" w:sz="0" w:space="0" w:color="auto"/>
        <w:bottom w:val="none" w:sz="0" w:space="0" w:color="auto"/>
        <w:right w:val="none" w:sz="0" w:space="0" w:color="auto"/>
      </w:divBdr>
    </w:div>
    <w:div w:id="1174220484">
      <w:bodyDiv w:val="1"/>
      <w:marLeft w:val="0"/>
      <w:marRight w:val="0"/>
      <w:marTop w:val="0"/>
      <w:marBottom w:val="0"/>
      <w:divBdr>
        <w:top w:val="none" w:sz="0" w:space="0" w:color="auto"/>
        <w:left w:val="none" w:sz="0" w:space="0" w:color="auto"/>
        <w:bottom w:val="none" w:sz="0" w:space="0" w:color="auto"/>
        <w:right w:val="none" w:sz="0" w:space="0" w:color="auto"/>
      </w:divBdr>
    </w:div>
    <w:div w:id="1253857621">
      <w:bodyDiv w:val="1"/>
      <w:marLeft w:val="0"/>
      <w:marRight w:val="0"/>
      <w:marTop w:val="0"/>
      <w:marBottom w:val="0"/>
      <w:divBdr>
        <w:top w:val="none" w:sz="0" w:space="0" w:color="auto"/>
        <w:left w:val="none" w:sz="0" w:space="0" w:color="auto"/>
        <w:bottom w:val="none" w:sz="0" w:space="0" w:color="auto"/>
        <w:right w:val="none" w:sz="0" w:space="0" w:color="auto"/>
      </w:divBdr>
    </w:div>
    <w:div w:id="1479762149">
      <w:bodyDiv w:val="1"/>
      <w:marLeft w:val="0"/>
      <w:marRight w:val="0"/>
      <w:marTop w:val="0"/>
      <w:marBottom w:val="0"/>
      <w:divBdr>
        <w:top w:val="none" w:sz="0" w:space="0" w:color="auto"/>
        <w:left w:val="none" w:sz="0" w:space="0" w:color="auto"/>
        <w:bottom w:val="none" w:sz="0" w:space="0" w:color="auto"/>
        <w:right w:val="none" w:sz="0" w:space="0" w:color="auto"/>
      </w:divBdr>
    </w:div>
    <w:div w:id="1641226984">
      <w:bodyDiv w:val="1"/>
      <w:marLeft w:val="0"/>
      <w:marRight w:val="0"/>
      <w:marTop w:val="0"/>
      <w:marBottom w:val="0"/>
      <w:divBdr>
        <w:top w:val="none" w:sz="0" w:space="0" w:color="auto"/>
        <w:left w:val="none" w:sz="0" w:space="0" w:color="auto"/>
        <w:bottom w:val="none" w:sz="0" w:space="0" w:color="auto"/>
        <w:right w:val="none" w:sz="0" w:space="0" w:color="auto"/>
      </w:divBdr>
    </w:div>
    <w:div w:id="1693728559">
      <w:bodyDiv w:val="1"/>
      <w:marLeft w:val="0"/>
      <w:marRight w:val="0"/>
      <w:marTop w:val="0"/>
      <w:marBottom w:val="0"/>
      <w:divBdr>
        <w:top w:val="none" w:sz="0" w:space="0" w:color="auto"/>
        <w:left w:val="none" w:sz="0" w:space="0" w:color="auto"/>
        <w:bottom w:val="none" w:sz="0" w:space="0" w:color="auto"/>
        <w:right w:val="none" w:sz="0" w:space="0" w:color="auto"/>
      </w:divBdr>
    </w:div>
    <w:div w:id="1739478102">
      <w:bodyDiv w:val="1"/>
      <w:marLeft w:val="0"/>
      <w:marRight w:val="0"/>
      <w:marTop w:val="0"/>
      <w:marBottom w:val="0"/>
      <w:divBdr>
        <w:top w:val="none" w:sz="0" w:space="0" w:color="auto"/>
        <w:left w:val="none" w:sz="0" w:space="0" w:color="auto"/>
        <w:bottom w:val="none" w:sz="0" w:space="0" w:color="auto"/>
        <w:right w:val="none" w:sz="0" w:space="0" w:color="auto"/>
      </w:divBdr>
    </w:div>
    <w:div w:id="1744907153">
      <w:bodyDiv w:val="1"/>
      <w:marLeft w:val="0"/>
      <w:marRight w:val="0"/>
      <w:marTop w:val="0"/>
      <w:marBottom w:val="0"/>
      <w:divBdr>
        <w:top w:val="none" w:sz="0" w:space="0" w:color="auto"/>
        <w:left w:val="none" w:sz="0" w:space="0" w:color="auto"/>
        <w:bottom w:val="none" w:sz="0" w:space="0" w:color="auto"/>
        <w:right w:val="none" w:sz="0" w:space="0" w:color="auto"/>
      </w:divBdr>
    </w:div>
    <w:div w:id="1771197755">
      <w:bodyDiv w:val="1"/>
      <w:marLeft w:val="0"/>
      <w:marRight w:val="0"/>
      <w:marTop w:val="0"/>
      <w:marBottom w:val="0"/>
      <w:divBdr>
        <w:top w:val="none" w:sz="0" w:space="0" w:color="auto"/>
        <w:left w:val="none" w:sz="0" w:space="0" w:color="auto"/>
        <w:bottom w:val="none" w:sz="0" w:space="0" w:color="auto"/>
        <w:right w:val="none" w:sz="0" w:space="0" w:color="auto"/>
      </w:divBdr>
    </w:div>
    <w:div w:id="1824926950">
      <w:bodyDiv w:val="1"/>
      <w:marLeft w:val="0"/>
      <w:marRight w:val="0"/>
      <w:marTop w:val="0"/>
      <w:marBottom w:val="0"/>
      <w:divBdr>
        <w:top w:val="none" w:sz="0" w:space="0" w:color="auto"/>
        <w:left w:val="none" w:sz="0" w:space="0" w:color="auto"/>
        <w:bottom w:val="none" w:sz="0" w:space="0" w:color="auto"/>
        <w:right w:val="none" w:sz="0" w:space="0" w:color="auto"/>
      </w:divBdr>
    </w:div>
    <w:div w:id="1945309179">
      <w:bodyDiv w:val="1"/>
      <w:marLeft w:val="0"/>
      <w:marRight w:val="0"/>
      <w:marTop w:val="0"/>
      <w:marBottom w:val="0"/>
      <w:divBdr>
        <w:top w:val="none" w:sz="0" w:space="0" w:color="auto"/>
        <w:left w:val="none" w:sz="0" w:space="0" w:color="auto"/>
        <w:bottom w:val="none" w:sz="0" w:space="0" w:color="auto"/>
        <w:right w:val="none" w:sz="0" w:space="0" w:color="auto"/>
      </w:divBdr>
    </w:div>
    <w:div w:id="1951157886">
      <w:bodyDiv w:val="1"/>
      <w:marLeft w:val="0"/>
      <w:marRight w:val="0"/>
      <w:marTop w:val="0"/>
      <w:marBottom w:val="0"/>
      <w:divBdr>
        <w:top w:val="none" w:sz="0" w:space="0" w:color="auto"/>
        <w:left w:val="none" w:sz="0" w:space="0" w:color="auto"/>
        <w:bottom w:val="none" w:sz="0" w:space="0" w:color="auto"/>
        <w:right w:val="none" w:sz="0" w:space="0" w:color="auto"/>
      </w:divBdr>
    </w:div>
    <w:div w:id="1962955421">
      <w:bodyDiv w:val="1"/>
      <w:marLeft w:val="0"/>
      <w:marRight w:val="0"/>
      <w:marTop w:val="0"/>
      <w:marBottom w:val="0"/>
      <w:divBdr>
        <w:top w:val="none" w:sz="0" w:space="0" w:color="auto"/>
        <w:left w:val="none" w:sz="0" w:space="0" w:color="auto"/>
        <w:bottom w:val="none" w:sz="0" w:space="0" w:color="auto"/>
        <w:right w:val="none" w:sz="0" w:space="0" w:color="auto"/>
      </w:divBdr>
    </w:div>
    <w:div w:id="1967660969">
      <w:bodyDiv w:val="1"/>
      <w:marLeft w:val="0"/>
      <w:marRight w:val="0"/>
      <w:marTop w:val="0"/>
      <w:marBottom w:val="0"/>
      <w:divBdr>
        <w:top w:val="none" w:sz="0" w:space="0" w:color="auto"/>
        <w:left w:val="none" w:sz="0" w:space="0" w:color="auto"/>
        <w:bottom w:val="none" w:sz="0" w:space="0" w:color="auto"/>
        <w:right w:val="none" w:sz="0" w:space="0" w:color="auto"/>
      </w:divBdr>
    </w:div>
    <w:div w:id="2116747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9D06D-5527-4F31-B5A6-1C2EC789D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6782</Words>
  <Characters>38663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SONVM</dc:creator>
  <cp:lastModifiedBy>Administrator</cp:lastModifiedBy>
  <cp:revision>24</cp:revision>
  <cp:lastPrinted>2025-07-14T04:17:00Z</cp:lastPrinted>
  <dcterms:created xsi:type="dcterms:W3CDTF">2025-07-05T18:01:00Z</dcterms:created>
  <dcterms:modified xsi:type="dcterms:W3CDTF">2025-07-14T04:18:00Z</dcterms:modified>
</cp:coreProperties>
</file>